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00" w:after="600"/>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t xml:space="preserve"> </w:t>
      </w: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三亚市医疗资源保障应急预案</w:t>
      </w: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color w:val="000000" w:themeColor="text1"/>
          <w14:textFill>
            <w14:solidFill>
              <w14:schemeClr w14:val="tx1"/>
            </w14:solidFill>
          </w14:textFill>
        </w:rPr>
      </w:pPr>
    </w:p>
    <w:p>
      <w:pPr>
        <w:spacing w:line="240" w:lineRule="auto"/>
        <w:rPr>
          <w:rFonts w:hint="eastAsia" w:ascii="楷体_GB2312" w:hAnsi="楷体_GB2312" w:eastAsia="楷体_GB2312" w:cs="楷体_GB2312"/>
          <w:color w:val="000000" w:themeColor="text1"/>
          <w:sz w:val="32"/>
          <w:szCs w:val="32"/>
          <w14:textFill>
            <w14:solidFill>
              <w14:schemeClr w14:val="tx1"/>
            </w14:solidFill>
          </w14:textFill>
        </w:rPr>
      </w:pPr>
    </w:p>
    <w:p>
      <w:pPr>
        <w:spacing w:line="240" w:lineRule="auto"/>
        <w:jc w:val="center"/>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三亚市卫生健康委员会</w:t>
      </w:r>
    </w:p>
    <w:p>
      <w:pPr>
        <w:spacing w:line="240" w:lineRule="auto"/>
        <w:jc w:val="center"/>
        <w:rPr>
          <w:rFonts w:hint="eastAsia" w:ascii="黑体" w:hAnsi="黑体" w:eastAsia="黑体" w:cs="黑体"/>
          <w:color w:val="000000" w:themeColor="text1"/>
          <w:sz w:val="32"/>
          <w:szCs w:val="32"/>
          <w14:textFill>
            <w14:solidFill>
              <w14:schemeClr w14:val="tx1"/>
            </w14:solidFill>
          </w14:textFill>
        </w:rPr>
      </w:pPr>
    </w:p>
    <w:p>
      <w:pPr>
        <w:jc w:val="center"/>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2026年8月</w:t>
      </w:r>
    </w:p>
    <w:p>
      <w:pPr>
        <w:jc w:val="center"/>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p>
    <w:p>
      <w:pPr>
        <w:jc w:val="center"/>
        <w:rPr>
          <w:rFonts w:hint="default" w:ascii="楷体_GB2312" w:hAnsi="楷体_GB2312" w:eastAsia="楷体_GB2312" w:cs="楷体_GB2312"/>
          <w:color w:val="000000" w:themeColor="text1"/>
          <w:sz w:val="32"/>
          <w:szCs w:val="32"/>
          <w:lang w:val="en-US" w:eastAsia="zh-CN"/>
          <w14:textFill>
            <w14:solidFill>
              <w14:schemeClr w14:val="tx1"/>
            </w14:solidFill>
          </w14:textFill>
        </w:rPr>
        <w:sectPr>
          <w:pgSz w:w="11906" w:h="16838"/>
          <w:pgMar w:top="2880" w:right="1440" w:bottom="1440" w:left="1440" w:header="708" w:footer="708" w:gutter="0"/>
          <w:pgNumType w:fmt="decimal"/>
          <w:cols w:space="720" w:num="1"/>
          <w:docGrid w:linePitch="360" w:charSpace="0"/>
        </w:sectPr>
      </w:pPr>
    </w:p>
    <w:p>
      <w:pPr>
        <w:tabs>
          <w:tab w:val="center" w:pos="4573"/>
          <w:tab w:val="left" w:pos="6020"/>
        </w:tabs>
        <w:spacing w:before="600" w:after="400"/>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目  录</w:t>
      </w:r>
    </w:p>
    <w:p>
      <w:pPr>
        <w:spacing w:before="40" w:after="40" w:line="400" w:lineRule="auto"/>
        <w:ind w:left="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1、</w:t>
      </w:r>
      <w:r>
        <w:rPr>
          <w:rFonts w:hint="eastAsia" w:ascii="黑体" w:hAnsi="黑体" w:eastAsia="黑体" w:cs="黑体"/>
          <w:b/>
          <w:bCs/>
          <w:color w:val="000000" w:themeColor="text1"/>
          <w:sz w:val="32"/>
          <w:szCs w:val="32"/>
          <w14:textFill>
            <w14:solidFill>
              <w14:schemeClr w14:val="tx1"/>
            </w14:solidFill>
          </w14:textFill>
        </w:rPr>
        <w:t xml:space="preserve">  总则</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1.1</w:t>
      </w:r>
      <w:r>
        <w:rPr>
          <w:rFonts w:hint="eastAsia" w:ascii="楷体_GB2312" w:hAnsi="楷体_GB2312" w:eastAsia="楷体_GB2312" w:cs="楷体_GB2312"/>
          <w:b w:val="0"/>
          <w:bCs w:val="0"/>
          <w:color w:val="000000" w:themeColor="text1"/>
          <w:sz w:val="32"/>
          <w:szCs w:val="32"/>
          <w14:textFill>
            <w14:solidFill>
              <w14:schemeClr w14:val="tx1"/>
            </w14:solidFill>
          </w14:textFill>
        </w:rPr>
        <w:t>编制目的</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1.2</w:t>
      </w:r>
      <w:r>
        <w:rPr>
          <w:rFonts w:hint="eastAsia" w:ascii="楷体_GB2312" w:hAnsi="楷体_GB2312" w:eastAsia="楷体_GB2312" w:cs="楷体_GB2312"/>
          <w:b w:val="0"/>
          <w:bCs w:val="0"/>
          <w:color w:val="000000" w:themeColor="text1"/>
          <w:sz w:val="32"/>
          <w:szCs w:val="32"/>
          <w14:textFill>
            <w14:solidFill>
              <w14:schemeClr w14:val="tx1"/>
            </w14:solidFill>
          </w14:textFill>
        </w:rPr>
        <w:t>编制依据</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1.3</w:t>
      </w:r>
      <w:r>
        <w:rPr>
          <w:rFonts w:hint="eastAsia" w:ascii="楷体_GB2312" w:hAnsi="楷体_GB2312" w:eastAsia="楷体_GB2312" w:cs="楷体_GB2312"/>
          <w:b w:val="0"/>
          <w:bCs w:val="0"/>
          <w:color w:val="000000" w:themeColor="text1"/>
          <w:sz w:val="32"/>
          <w:szCs w:val="32"/>
          <w14:textFill>
            <w14:solidFill>
              <w14:schemeClr w14:val="tx1"/>
            </w14:solidFill>
          </w14:textFill>
        </w:rPr>
        <w:t>适用范围</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1.4</w:t>
      </w:r>
      <w:r>
        <w:rPr>
          <w:rFonts w:hint="eastAsia" w:ascii="楷体_GB2312" w:hAnsi="楷体_GB2312" w:eastAsia="楷体_GB2312" w:cs="楷体_GB2312"/>
          <w:b w:val="0"/>
          <w:bCs w:val="0"/>
          <w:color w:val="000000" w:themeColor="text1"/>
          <w:sz w:val="32"/>
          <w:szCs w:val="32"/>
          <w14:textFill>
            <w14:solidFill>
              <w14:schemeClr w14:val="tx1"/>
            </w14:solidFill>
          </w14:textFill>
        </w:rPr>
        <w:t>工作原则</w:t>
      </w:r>
    </w:p>
    <w:p>
      <w:pPr>
        <w:numPr>
          <w:ilvl w:val="0"/>
          <w:numId w:val="1"/>
        </w:numPr>
        <w:spacing w:before="40" w:after="40" w:line="400" w:lineRule="auto"/>
        <w:ind w:left="0"/>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14:textFill>
            <w14:solidFill>
              <w14:schemeClr w14:val="tx1"/>
            </w14:solidFill>
          </w14:textFill>
        </w:rPr>
        <w:t>组织指挥体系</w:t>
      </w:r>
    </w:p>
    <w:p>
      <w:pPr>
        <w:numPr>
          <w:ilvl w:val="0"/>
          <w:numId w:val="0"/>
        </w:num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2.1</w:t>
      </w:r>
      <w:r>
        <w:rPr>
          <w:rFonts w:hint="eastAsia" w:ascii="楷体_GB2312" w:hAnsi="楷体_GB2312" w:eastAsia="楷体_GB2312" w:cs="楷体_GB2312"/>
          <w:b w:val="0"/>
          <w:bCs w:val="0"/>
          <w:color w:val="000000" w:themeColor="text1"/>
          <w:sz w:val="32"/>
          <w:szCs w:val="32"/>
          <w14:textFill>
            <w14:solidFill>
              <w14:schemeClr w14:val="tx1"/>
            </w14:solidFill>
          </w14:textFill>
        </w:rPr>
        <w:t>领导机构</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2.2</w:t>
      </w:r>
      <w:r>
        <w:rPr>
          <w:rFonts w:hint="eastAsia" w:ascii="楷体_GB2312" w:hAnsi="楷体_GB2312" w:eastAsia="楷体_GB2312" w:cs="楷体_GB2312"/>
          <w:b w:val="0"/>
          <w:bCs w:val="0"/>
          <w:color w:val="000000" w:themeColor="text1"/>
          <w:sz w:val="32"/>
          <w:szCs w:val="32"/>
          <w14:textFill>
            <w14:solidFill>
              <w14:schemeClr w14:val="tx1"/>
            </w14:solidFill>
          </w14:textFill>
        </w:rPr>
        <w:t>办事机构</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
          <w14:textFill>
            <w14:solidFill>
              <w14:schemeClr w14:val="tx1"/>
            </w14:solidFill>
          </w14:textFill>
        </w:rPr>
        <w:t>2.3</w:t>
      </w:r>
      <w:r>
        <w:rPr>
          <w:rFonts w:hint="eastAsia" w:ascii="楷体_GB2312" w:hAnsi="楷体_GB2312" w:eastAsia="楷体_GB2312" w:cs="楷体_GB2312"/>
          <w:color w:val="000000" w:themeColor="text1"/>
          <w:sz w:val="32"/>
          <w:szCs w:val="32"/>
          <w14:textFill>
            <w14:solidFill>
              <w14:schemeClr w14:val="tx1"/>
            </w14:solidFill>
          </w14:textFill>
        </w:rPr>
        <w:t>专家组</w:t>
      </w:r>
    </w:p>
    <w:p>
      <w:pPr>
        <w:spacing w:before="40" w:after="40" w:line="400" w:lineRule="auto"/>
        <w:ind w:left="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3、</w:t>
      </w:r>
      <w:r>
        <w:rPr>
          <w:rFonts w:hint="eastAsia" w:ascii="黑体" w:hAnsi="黑体" w:eastAsia="黑体" w:cs="黑体"/>
          <w:b/>
          <w:bCs/>
          <w:color w:val="000000" w:themeColor="text1"/>
          <w:sz w:val="32"/>
          <w:szCs w:val="32"/>
          <w14:textFill>
            <w14:solidFill>
              <w14:schemeClr w14:val="tx1"/>
            </w14:solidFill>
          </w14:textFill>
        </w:rPr>
        <w:t>成员单位职责分工</w:t>
      </w:r>
    </w:p>
    <w:p>
      <w:pPr>
        <w:spacing w:before="40" w:after="40" w:line="400" w:lineRule="auto"/>
        <w:ind w:firstLine="640" w:firstLineChars="200"/>
        <w:rPr>
          <w:rFonts w:hint="eastAsia" w:ascii="楷体_GB2312" w:hAnsi="楷体_GB2312" w:eastAsia="楷体_GB2312" w:cs="楷体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w:t>
      </w:r>
      <w:r>
        <w:rPr>
          <w:rFonts w:hint="eastAsia" w:ascii="楷体_GB2312" w:hAnsi="楷体_GB2312" w:eastAsia="楷体_GB2312" w:cs="楷体_GB2312"/>
          <w:b w:val="0"/>
          <w:bCs w:val="0"/>
          <w:color w:val="000000" w:themeColor="text1"/>
          <w:sz w:val="32"/>
          <w:szCs w:val="32"/>
          <w14:textFill>
            <w14:solidFill>
              <w14:schemeClr w14:val="tx1"/>
            </w14:solidFill>
          </w14:textFill>
        </w:rPr>
        <w:t>市卫生健康</w:t>
      </w:r>
      <w:r>
        <w:rPr>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委员会</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w:t>
      </w:r>
      <w:r>
        <w:rPr>
          <w:rFonts w:hint="eastAsia" w:ascii="楷体_GB2312" w:hAnsi="楷体_GB2312" w:eastAsia="楷体_GB2312" w:cs="楷体_GB2312"/>
          <w:b w:val="0"/>
          <w:bCs w:val="0"/>
          <w:color w:val="000000" w:themeColor="text1"/>
          <w:sz w:val="32"/>
          <w:szCs w:val="32"/>
          <w14:textFill>
            <w14:solidFill>
              <w14:schemeClr w14:val="tx1"/>
            </w14:solidFill>
          </w14:textFill>
        </w:rPr>
        <w:t>市应急管理局</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3.3</w:t>
      </w:r>
      <w:r>
        <w:rPr>
          <w:rFonts w:hint="eastAsia" w:ascii="楷体_GB2312" w:hAnsi="楷体_GB2312" w:eastAsia="楷体_GB2312" w:cs="楷体_GB2312"/>
          <w:b w:val="0"/>
          <w:bCs w:val="0"/>
          <w:color w:val="000000" w:themeColor="text1"/>
          <w:sz w:val="32"/>
          <w:szCs w:val="32"/>
          <w14:textFill>
            <w14:solidFill>
              <w14:schemeClr w14:val="tx1"/>
            </w14:solidFill>
          </w14:textFill>
        </w:rPr>
        <w:t>市委宣传部</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3.4</w:t>
      </w:r>
      <w:r>
        <w:rPr>
          <w:rFonts w:hint="eastAsia" w:ascii="楷体_GB2312" w:hAnsi="楷体_GB2312" w:eastAsia="楷体_GB2312" w:cs="楷体_GB2312"/>
          <w:b w:val="0"/>
          <w:bCs w:val="0"/>
          <w:color w:val="000000" w:themeColor="text1"/>
          <w:sz w:val="32"/>
          <w:szCs w:val="32"/>
          <w14:textFill>
            <w14:solidFill>
              <w14:schemeClr w14:val="tx1"/>
            </w14:solidFill>
          </w14:textFill>
        </w:rPr>
        <w:t>市委网信办</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3.5</w:t>
      </w:r>
      <w:r>
        <w:rPr>
          <w:rFonts w:hint="eastAsia" w:ascii="楷体_GB2312" w:hAnsi="楷体_GB2312" w:eastAsia="楷体_GB2312" w:cs="楷体_GB2312"/>
          <w:b w:val="0"/>
          <w:bCs w:val="0"/>
          <w:color w:val="000000" w:themeColor="text1"/>
          <w:sz w:val="32"/>
          <w:szCs w:val="32"/>
          <w14:textFill>
            <w14:solidFill>
              <w14:schemeClr w14:val="tx1"/>
            </w14:solidFill>
          </w14:textFill>
        </w:rPr>
        <w:t xml:space="preserve">市财政局  </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3.6</w:t>
      </w:r>
      <w:r>
        <w:rPr>
          <w:rFonts w:hint="eastAsia" w:ascii="楷体_GB2312" w:hAnsi="楷体_GB2312" w:eastAsia="楷体_GB2312" w:cs="楷体_GB2312"/>
          <w:b w:val="0"/>
          <w:bCs w:val="0"/>
          <w:color w:val="000000" w:themeColor="text1"/>
          <w:sz w:val="32"/>
          <w:szCs w:val="32"/>
          <w14:textFill>
            <w14:solidFill>
              <w14:schemeClr w14:val="tx1"/>
            </w14:solidFill>
          </w14:textFill>
        </w:rPr>
        <w:t>市公安</w:t>
      </w:r>
      <w:r>
        <w:rPr>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3.7</w:t>
      </w:r>
      <w:r>
        <w:rPr>
          <w:rFonts w:hint="eastAsia" w:ascii="楷体_GB2312" w:hAnsi="楷体_GB2312" w:eastAsia="楷体_GB2312" w:cs="楷体_GB2312"/>
          <w:b w:val="0"/>
          <w:bCs w:val="0"/>
          <w:color w:val="000000" w:themeColor="text1"/>
          <w:sz w:val="32"/>
          <w:szCs w:val="32"/>
          <w14:textFill>
            <w14:solidFill>
              <w14:schemeClr w14:val="tx1"/>
            </w14:solidFill>
          </w14:textFill>
        </w:rPr>
        <w:t>市交通运输局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3.8三亚海事局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3.9中国民用航空三亚安全监督管理局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3.10三亚海关、三亚机场海关</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3.11</w:t>
      </w:r>
      <w:r>
        <w:rPr>
          <w:rFonts w:hint="eastAsia" w:ascii="楷体_GB2312" w:hAnsi="楷体_GB2312" w:eastAsia="楷体_GB2312" w:cs="楷体_GB2312"/>
          <w:b w:val="0"/>
          <w:bCs w:val="0"/>
          <w:color w:val="000000" w:themeColor="text1"/>
          <w:sz w:val="32"/>
          <w:szCs w:val="32"/>
          <w14:textFill>
            <w14:solidFill>
              <w14:schemeClr w14:val="tx1"/>
            </w14:solidFill>
          </w14:textFill>
        </w:rPr>
        <w:t>市市场监督管理局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3.12</w:t>
      </w:r>
      <w:r>
        <w:rPr>
          <w:rFonts w:hint="eastAsia" w:ascii="楷体_GB2312" w:hAnsi="楷体_GB2312" w:eastAsia="楷体_GB2312" w:cs="楷体_GB2312"/>
          <w:b w:val="0"/>
          <w:bCs w:val="0"/>
          <w:color w:val="000000" w:themeColor="text1"/>
          <w:sz w:val="32"/>
          <w:szCs w:val="32"/>
          <w14:textFill>
            <w14:solidFill>
              <w14:schemeClr w14:val="tx1"/>
            </w14:solidFill>
          </w14:textFill>
        </w:rPr>
        <w:t xml:space="preserve">市医疗保障局 </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3.13</w:t>
      </w:r>
      <w:r>
        <w:rPr>
          <w:rFonts w:hint="eastAsia" w:ascii="楷体_GB2312" w:hAnsi="楷体_GB2312" w:eastAsia="楷体_GB2312" w:cs="楷体_GB2312"/>
          <w:color w:val="000000" w:themeColor="text1"/>
          <w:sz w:val="32"/>
          <w:szCs w:val="32"/>
          <w:lang w:eastAsia="zh-CN"/>
          <w14:textFill>
            <w14:solidFill>
              <w14:schemeClr w14:val="tx1"/>
            </w14:solidFill>
          </w14:textFill>
        </w:rPr>
        <w:t>市医疗保险服务中心</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3.14</w:t>
      </w:r>
      <w:r>
        <w:rPr>
          <w:rFonts w:hint="eastAsia" w:ascii="楷体_GB2312" w:hAnsi="楷体_GB2312" w:eastAsia="楷体_GB2312" w:cs="楷体_GB2312"/>
          <w:b w:val="0"/>
          <w:bCs w:val="0"/>
          <w:color w:val="000000" w:themeColor="text1"/>
          <w:sz w:val="32"/>
          <w:szCs w:val="32"/>
          <w14:textFill>
            <w14:solidFill>
              <w14:schemeClr w14:val="tx1"/>
            </w14:solidFill>
          </w14:textFill>
        </w:rPr>
        <w:t xml:space="preserve">市红十字会 </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3.15市医疗紧急救援中心</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3.16市疾病预防控制中心</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3.17市消防救援支队（市消防救援局）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3.18市旅游和文化广电体育局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3.19市农业农村局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3.20市林业局</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3.21</w:t>
      </w:r>
      <w:r>
        <w:rPr>
          <w:rFonts w:hint="eastAsia" w:ascii="楷体_GB2312" w:hAnsi="楷体_GB2312" w:eastAsia="楷体_GB2312" w:cs="楷体_GB2312"/>
          <w:b w:val="0"/>
          <w:bCs w:val="0"/>
          <w:color w:val="000000" w:themeColor="text1"/>
          <w:sz w:val="32"/>
          <w:szCs w:val="32"/>
          <w14:textFill>
            <w14:solidFill>
              <w14:schemeClr w14:val="tx1"/>
            </w14:solidFill>
          </w14:textFill>
        </w:rPr>
        <w:t>三亚警备区保障处</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3.22</w:t>
      </w:r>
      <w:r>
        <w:rPr>
          <w:rFonts w:hint="eastAsia" w:ascii="楷体_GB2312" w:hAnsi="楷体_GB2312" w:eastAsia="楷体_GB2312" w:cs="楷体_GB2312"/>
          <w:b w:val="0"/>
          <w:bCs w:val="0"/>
          <w:color w:val="000000" w:themeColor="text1"/>
          <w:sz w:val="32"/>
          <w:szCs w:val="32"/>
          <w14:textFill>
            <w14:solidFill>
              <w14:schemeClr w14:val="tx1"/>
            </w14:solidFill>
          </w14:textFill>
        </w:rPr>
        <w:t>各区政府、育才生态区管委会</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3.23</w:t>
      </w:r>
      <w:r>
        <w:rPr>
          <w:rFonts w:hint="eastAsia" w:ascii="楷体_GB2312" w:hAnsi="楷体_GB2312" w:eastAsia="楷体_GB2312" w:cs="楷体_GB2312"/>
          <w:b w:val="0"/>
          <w:bCs w:val="0"/>
          <w:color w:val="000000" w:themeColor="text1"/>
          <w:sz w:val="32"/>
          <w:szCs w:val="32"/>
          <w14:textFill>
            <w14:solidFill>
              <w14:schemeClr w14:val="tx1"/>
            </w14:solidFill>
          </w14:textFill>
        </w:rPr>
        <w:t xml:space="preserve"> 各区卫生健康委员会</w:t>
      </w:r>
    </w:p>
    <w:p>
      <w:pPr>
        <w:spacing w:before="40" w:after="40" w:line="400" w:lineRule="auto"/>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3.24</w:t>
      </w:r>
      <w:r>
        <w:rPr>
          <w:rFonts w:hint="eastAsia" w:ascii="楷体_GB2312" w:hAnsi="楷体_GB2312" w:eastAsia="楷体_GB2312" w:cs="楷体_GB2312"/>
          <w:b w:val="0"/>
          <w:bCs w:val="0"/>
          <w:color w:val="000000" w:themeColor="text1"/>
          <w:sz w:val="32"/>
          <w:szCs w:val="32"/>
          <w14:textFill>
            <w14:solidFill>
              <w14:schemeClr w14:val="tx1"/>
            </w14:solidFill>
          </w14:textFill>
        </w:rPr>
        <w:t>全市二级及以上医疗机构</w:t>
      </w:r>
    </w:p>
    <w:p>
      <w:pPr>
        <w:numPr>
          <w:ilvl w:val="0"/>
          <w:numId w:val="0"/>
        </w:numPr>
        <w:spacing w:before="40" w:after="40" w:line="400" w:lineRule="auto"/>
        <w:ind w:leftChars="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4、</w:t>
      </w:r>
      <w:r>
        <w:rPr>
          <w:rFonts w:hint="eastAsia" w:ascii="黑体" w:hAnsi="黑体" w:eastAsia="黑体" w:cs="黑体"/>
          <w:b/>
          <w:bCs/>
          <w:color w:val="000000" w:themeColor="text1"/>
          <w:sz w:val="32"/>
          <w:szCs w:val="32"/>
          <w14:textFill>
            <w14:solidFill>
              <w14:schemeClr w14:val="tx1"/>
            </w14:solidFill>
          </w14:textFill>
        </w:rPr>
        <w:t>事件分级与响应</w:t>
      </w:r>
    </w:p>
    <w:p>
      <w:pPr>
        <w:numPr>
          <w:ilvl w:val="0"/>
          <w:numId w:val="0"/>
        </w:num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4.1</w:t>
      </w:r>
      <w:r>
        <w:rPr>
          <w:rFonts w:hint="eastAsia" w:ascii="楷体_GB2312" w:hAnsi="楷体_GB2312" w:eastAsia="楷体_GB2312" w:cs="楷体_GB2312"/>
          <w:b w:val="0"/>
          <w:bCs w:val="0"/>
          <w:color w:val="000000" w:themeColor="text1"/>
          <w:sz w:val="32"/>
          <w:szCs w:val="32"/>
          <w14:textFill>
            <w14:solidFill>
              <w14:schemeClr w14:val="tx1"/>
            </w14:solidFill>
          </w14:textFill>
        </w:rPr>
        <w:t>事件分级</w:t>
      </w:r>
    </w:p>
    <w:p>
      <w:pPr>
        <w:numPr>
          <w:ilvl w:val="0"/>
          <w:numId w:val="0"/>
        </w:num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4.2</w:t>
      </w:r>
      <w:r>
        <w:rPr>
          <w:rFonts w:hint="eastAsia" w:ascii="楷体_GB2312" w:hAnsi="楷体_GB2312" w:eastAsia="楷体_GB2312" w:cs="楷体_GB2312"/>
          <w:b w:val="0"/>
          <w:bCs w:val="0"/>
          <w:color w:val="000000" w:themeColor="text1"/>
          <w:sz w:val="32"/>
          <w:szCs w:val="32"/>
          <w14:textFill>
            <w14:solidFill>
              <w14:schemeClr w14:val="tx1"/>
            </w14:solidFill>
          </w14:textFill>
        </w:rPr>
        <w:t>响应程序</w:t>
      </w:r>
    </w:p>
    <w:p>
      <w:pPr>
        <w:spacing w:before="40" w:after="40" w:line="400" w:lineRule="auto"/>
        <w:ind w:left="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5、</w:t>
      </w:r>
      <w:r>
        <w:rPr>
          <w:rFonts w:hint="eastAsia" w:ascii="黑体" w:hAnsi="黑体" w:eastAsia="黑体" w:cs="黑体"/>
          <w:b/>
          <w:bCs/>
          <w:color w:val="000000" w:themeColor="text1"/>
          <w:sz w:val="32"/>
          <w:szCs w:val="32"/>
          <w14:textFill>
            <w14:solidFill>
              <w14:schemeClr w14:val="tx1"/>
            </w14:solidFill>
          </w14:textFill>
        </w:rPr>
        <w:t>资源保障内容</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5.1</w:t>
      </w:r>
      <w:r>
        <w:rPr>
          <w:rFonts w:hint="eastAsia" w:ascii="楷体_GB2312" w:hAnsi="楷体_GB2312" w:eastAsia="楷体_GB2312" w:cs="楷体_GB2312"/>
          <w:b w:val="0"/>
          <w:bCs w:val="0"/>
          <w:color w:val="000000" w:themeColor="text1"/>
          <w:sz w:val="32"/>
          <w:szCs w:val="32"/>
          <w14:textFill>
            <w14:solidFill>
              <w14:schemeClr w14:val="tx1"/>
            </w14:solidFill>
          </w14:textFill>
        </w:rPr>
        <w:t>床位资源保障</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5.2</w:t>
      </w:r>
      <w:r>
        <w:rPr>
          <w:rFonts w:hint="eastAsia" w:ascii="楷体_GB2312" w:hAnsi="楷体_GB2312" w:eastAsia="楷体_GB2312" w:cs="楷体_GB2312"/>
          <w:b w:val="0"/>
          <w:bCs w:val="0"/>
          <w:color w:val="000000" w:themeColor="text1"/>
          <w:sz w:val="32"/>
          <w:szCs w:val="32"/>
          <w14:textFill>
            <w14:solidFill>
              <w14:schemeClr w14:val="tx1"/>
            </w14:solidFill>
          </w14:textFill>
        </w:rPr>
        <w:t>人力资源保障</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5.3</w:t>
      </w:r>
      <w:r>
        <w:rPr>
          <w:rFonts w:hint="eastAsia" w:ascii="楷体_GB2312" w:hAnsi="楷体_GB2312" w:eastAsia="楷体_GB2312" w:cs="楷体_GB2312"/>
          <w:b w:val="0"/>
          <w:bCs w:val="0"/>
          <w:color w:val="000000" w:themeColor="text1"/>
          <w:sz w:val="32"/>
          <w:szCs w:val="32"/>
          <w14:textFill>
            <w14:solidFill>
              <w14:schemeClr w14:val="tx1"/>
            </w14:solidFill>
          </w14:textFill>
        </w:rPr>
        <w:t>药品与物资保障</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5.4</w:t>
      </w:r>
      <w:r>
        <w:rPr>
          <w:rFonts w:hint="eastAsia" w:ascii="楷体_GB2312" w:hAnsi="楷体_GB2312" w:eastAsia="楷体_GB2312" w:cs="楷体_GB2312"/>
          <w:b w:val="0"/>
          <w:bCs w:val="0"/>
          <w:color w:val="000000" w:themeColor="text1"/>
          <w:sz w:val="32"/>
          <w:szCs w:val="32"/>
          <w14:textFill>
            <w14:solidFill>
              <w14:schemeClr w14:val="tx1"/>
            </w14:solidFill>
          </w14:textFill>
        </w:rPr>
        <w:t>血液保障</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5.5</w:t>
      </w:r>
      <w:r>
        <w:rPr>
          <w:rFonts w:hint="eastAsia" w:ascii="楷体_GB2312" w:hAnsi="楷体_GB2312" w:eastAsia="楷体_GB2312" w:cs="楷体_GB2312"/>
          <w:b w:val="0"/>
          <w:bCs w:val="0"/>
          <w:color w:val="000000" w:themeColor="text1"/>
          <w:sz w:val="32"/>
          <w:szCs w:val="32"/>
          <w14:textFill>
            <w14:solidFill>
              <w14:schemeClr w14:val="tx1"/>
            </w14:solidFill>
          </w14:textFill>
        </w:rPr>
        <w:t>转运与交通保障</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5.6生物致伤应急专项保障（蛇咬伤）</w:t>
      </w:r>
    </w:p>
    <w:p>
      <w:pPr>
        <w:spacing w:before="40" w:after="40" w:line="400" w:lineRule="auto"/>
        <w:ind w:left="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6、</w:t>
      </w:r>
      <w:r>
        <w:rPr>
          <w:rFonts w:hint="eastAsia" w:ascii="黑体" w:hAnsi="黑体" w:eastAsia="黑体" w:cs="黑体"/>
          <w:b/>
          <w:bCs/>
          <w:color w:val="000000" w:themeColor="text1"/>
          <w:sz w:val="32"/>
          <w:szCs w:val="32"/>
          <w14:textFill>
            <w14:solidFill>
              <w14:schemeClr w14:val="tx1"/>
            </w14:solidFill>
          </w14:textFill>
        </w:rPr>
        <w:t xml:space="preserve"> 监测与预警</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6.1</w:t>
      </w:r>
      <w:r>
        <w:rPr>
          <w:rFonts w:hint="eastAsia" w:ascii="楷体_GB2312" w:hAnsi="楷体_GB2312" w:eastAsia="楷体_GB2312" w:cs="楷体_GB2312"/>
          <w:b w:val="0"/>
          <w:bCs w:val="0"/>
          <w:color w:val="000000" w:themeColor="text1"/>
          <w:sz w:val="32"/>
          <w:szCs w:val="32"/>
          <w14:textFill>
            <w14:solidFill>
              <w14:schemeClr w14:val="tx1"/>
            </w14:solidFill>
          </w14:textFill>
        </w:rPr>
        <w:t>资源普查</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6.2</w:t>
      </w:r>
      <w:r>
        <w:rPr>
          <w:rFonts w:hint="eastAsia" w:ascii="楷体_GB2312" w:hAnsi="楷体_GB2312" w:eastAsia="楷体_GB2312" w:cs="楷体_GB2312"/>
          <w:b w:val="0"/>
          <w:bCs w:val="0"/>
          <w:color w:val="000000" w:themeColor="text1"/>
          <w:sz w:val="32"/>
          <w:szCs w:val="32"/>
          <w14:textFill>
            <w14:solidFill>
              <w14:schemeClr w14:val="tx1"/>
            </w14:solidFill>
          </w14:textFill>
        </w:rPr>
        <w:t>运行监测</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6.3</w:t>
      </w:r>
      <w:r>
        <w:rPr>
          <w:rFonts w:hint="eastAsia" w:ascii="楷体_GB2312" w:hAnsi="楷体_GB2312" w:eastAsia="楷体_GB2312" w:cs="楷体_GB2312"/>
          <w:b w:val="0"/>
          <w:bCs w:val="0"/>
          <w:color w:val="000000" w:themeColor="text1"/>
          <w:sz w:val="32"/>
          <w:szCs w:val="32"/>
          <w14:textFill>
            <w14:solidFill>
              <w14:schemeClr w14:val="tx1"/>
            </w14:solidFill>
          </w14:textFill>
        </w:rPr>
        <w:t>预警发布</w:t>
      </w:r>
    </w:p>
    <w:p>
      <w:pPr>
        <w:spacing w:before="40" w:after="40" w:line="400" w:lineRule="auto"/>
        <w:ind w:left="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7、</w:t>
      </w:r>
      <w:r>
        <w:rPr>
          <w:rFonts w:hint="eastAsia" w:ascii="黑体" w:hAnsi="黑体" w:eastAsia="黑体" w:cs="黑体"/>
          <w:b/>
          <w:bCs/>
          <w:color w:val="000000" w:themeColor="text1"/>
          <w:sz w:val="32"/>
          <w:szCs w:val="32"/>
          <w14:textFill>
            <w14:solidFill>
              <w14:schemeClr w14:val="tx1"/>
            </w14:solidFill>
          </w14:textFill>
        </w:rPr>
        <w:t>保障措施</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7.1</w:t>
      </w:r>
      <w:r>
        <w:rPr>
          <w:rFonts w:hint="eastAsia" w:ascii="楷体_GB2312" w:hAnsi="楷体_GB2312" w:eastAsia="楷体_GB2312" w:cs="楷体_GB2312"/>
          <w:b w:val="0"/>
          <w:bCs w:val="0"/>
          <w:color w:val="000000" w:themeColor="text1"/>
          <w:sz w:val="32"/>
          <w:szCs w:val="32"/>
          <w14:textFill>
            <w14:solidFill>
              <w14:schemeClr w14:val="tx1"/>
            </w14:solidFill>
          </w14:textFill>
        </w:rPr>
        <w:t>经费保障</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7.2</w:t>
      </w:r>
      <w:r>
        <w:rPr>
          <w:rFonts w:hint="eastAsia" w:ascii="楷体_GB2312" w:hAnsi="楷体_GB2312" w:eastAsia="楷体_GB2312" w:cs="楷体_GB2312"/>
          <w:b w:val="0"/>
          <w:bCs w:val="0"/>
          <w:color w:val="000000" w:themeColor="text1"/>
          <w:sz w:val="32"/>
          <w:szCs w:val="32"/>
          <w14:textFill>
            <w14:solidFill>
              <w14:schemeClr w14:val="tx1"/>
            </w14:solidFill>
          </w14:textFill>
        </w:rPr>
        <w:t>通信保障</w:t>
      </w:r>
    </w:p>
    <w:p>
      <w:p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7.3</w:t>
      </w:r>
      <w:r>
        <w:rPr>
          <w:rFonts w:hint="eastAsia" w:ascii="楷体_GB2312" w:hAnsi="楷体_GB2312" w:eastAsia="楷体_GB2312" w:cs="楷体_GB2312"/>
          <w:b w:val="0"/>
          <w:bCs w:val="0"/>
          <w:color w:val="000000" w:themeColor="text1"/>
          <w:sz w:val="32"/>
          <w:szCs w:val="32"/>
          <w14:textFill>
            <w14:solidFill>
              <w14:schemeClr w14:val="tx1"/>
            </w14:solidFill>
          </w14:textFill>
        </w:rPr>
        <w:t>社会动员</w:t>
      </w:r>
    </w:p>
    <w:p>
      <w:p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7.4</w:t>
      </w:r>
      <w:r>
        <w:rPr>
          <w:rFonts w:hint="eastAsia" w:ascii="楷体_GB2312" w:hAnsi="楷体_GB2312" w:eastAsia="楷体_GB2312" w:cs="楷体_GB2312"/>
          <w:b w:val="0"/>
          <w:bCs w:val="0"/>
          <w:color w:val="000000" w:themeColor="text1"/>
          <w:sz w:val="32"/>
          <w:szCs w:val="32"/>
          <w14:textFill>
            <w14:solidFill>
              <w14:schemeClr w14:val="tx1"/>
            </w14:solidFill>
          </w14:textFill>
        </w:rPr>
        <w:t>演练与培训</w:t>
      </w:r>
    </w:p>
    <w:p>
      <w:pPr>
        <w:numPr>
          <w:ilvl w:val="0"/>
          <w:numId w:val="2"/>
        </w:numPr>
        <w:spacing w:before="40" w:after="40" w:line="400" w:lineRule="auto"/>
        <w:ind w:left="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14:textFill>
            <w14:solidFill>
              <w14:schemeClr w14:val="tx1"/>
            </w14:solidFill>
          </w14:textFill>
        </w:rPr>
        <w:t>监督管理</w:t>
      </w:r>
    </w:p>
    <w:p>
      <w:pPr>
        <w:numPr>
          <w:ilvl w:val="0"/>
          <w:numId w:val="0"/>
        </w:numPr>
        <w:spacing w:before="40" w:after="40" w:line="400" w:lineRule="auto"/>
        <w:ind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8.1</w:t>
      </w:r>
      <w:r>
        <w:rPr>
          <w:rFonts w:hint="eastAsia" w:ascii="楷体_GB2312" w:hAnsi="楷体_GB2312" w:eastAsia="楷体_GB2312" w:cs="楷体_GB2312"/>
          <w:b w:val="0"/>
          <w:bCs w:val="0"/>
          <w:color w:val="000000" w:themeColor="text1"/>
          <w:sz w:val="32"/>
          <w:szCs w:val="32"/>
          <w14:textFill>
            <w14:solidFill>
              <w14:schemeClr w14:val="tx1"/>
            </w14:solidFill>
          </w14:textFill>
        </w:rPr>
        <w:t>宣传普及</w:t>
      </w:r>
    </w:p>
    <w:p>
      <w:pPr>
        <w:numPr>
          <w:ilvl w:val="0"/>
          <w:numId w:val="0"/>
        </w:numPr>
        <w:spacing w:before="40" w:after="40" w:line="400" w:lineRule="auto"/>
        <w:ind w:firstLine="640"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8.2</w:t>
      </w:r>
      <w:r>
        <w:rPr>
          <w:rFonts w:hint="eastAsia" w:ascii="楷体_GB2312" w:hAnsi="楷体_GB2312" w:eastAsia="楷体_GB2312" w:cs="楷体_GB2312"/>
          <w:b w:val="0"/>
          <w:bCs w:val="0"/>
          <w:color w:val="000000" w:themeColor="text1"/>
          <w:sz w:val="32"/>
          <w:szCs w:val="32"/>
          <w14:textFill>
            <w14:solidFill>
              <w14:schemeClr w14:val="tx1"/>
            </w14:solidFill>
          </w14:textFill>
        </w:rPr>
        <w:t>考核奖惩</w:t>
      </w:r>
    </w:p>
    <w:p>
      <w:pPr>
        <w:numPr>
          <w:ilvl w:val="0"/>
          <w:numId w:val="2"/>
        </w:numPr>
        <w:spacing w:before="40" w:after="40" w:line="400" w:lineRule="auto"/>
        <w:ind w:left="0" w:leftChars="0" w:firstLine="0" w:firstLineChars="0"/>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14:textFill>
            <w14:solidFill>
              <w14:schemeClr w14:val="tx1"/>
            </w14:solidFill>
          </w14:textFill>
        </w:rPr>
        <w:t>附则</w:t>
      </w:r>
    </w:p>
    <w:p>
      <w:pPr>
        <w:numPr>
          <w:ilvl w:val="0"/>
          <w:numId w:val="0"/>
        </w:numPr>
        <w:spacing w:before="40" w:after="40" w:line="400" w:lineRule="auto"/>
        <w:ind w:leftChars="0"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9.1</w:t>
      </w:r>
      <w:r>
        <w:rPr>
          <w:rFonts w:hint="eastAsia" w:ascii="楷体_GB2312" w:hAnsi="楷体_GB2312" w:eastAsia="楷体_GB2312" w:cs="楷体_GB2312"/>
          <w:b w:val="0"/>
          <w:bCs w:val="0"/>
          <w:color w:val="000000" w:themeColor="text1"/>
          <w:sz w:val="32"/>
          <w:szCs w:val="32"/>
          <w14:textFill>
            <w14:solidFill>
              <w14:schemeClr w14:val="tx1"/>
            </w14:solidFill>
          </w14:textFill>
        </w:rPr>
        <w:t>预案解释</w:t>
      </w:r>
    </w:p>
    <w:p>
      <w:pPr>
        <w:numPr>
          <w:ilvl w:val="0"/>
          <w:numId w:val="0"/>
        </w:numPr>
        <w:spacing w:before="40" w:after="40" w:line="400" w:lineRule="auto"/>
        <w:ind w:leftChars="0" w:firstLine="640" w:firstLineChars="200"/>
        <w:rPr>
          <w:rFonts w:hint="eastAsia" w:ascii="楷体_GB2312" w:hAnsi="楷体_GB2312" w:eastAsia="楷体_GB2312" w:cs="楷体_GB2312"/>
          <w:b w:val="0"/>
          <w:bCs w:val="0"/>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9.2</w:t>
      </w:r>
      <w:r>
        <w:rPr>
          <w:rFonts w:hint="eastAsia" w:ascii="楷体_GB2312" w:hAnsi="楷体_GB2312" w:eastAsia="楷体_GB2312" w:cs="楷体_GB2312"/>
          <w:b w:val="0"/>
          <w:bCs w:val="0"/>
          <w:color w:val="000000" w:themeColor="text1"/>
          <w:sz w:val="32"/>
          <w:szCs w:val="32"/>
          <w14:textFill>
            <w14:solidFill>
              <w14:schemeClr w14:val="tx1"/>
            </w14:solidFill>
          </w14:textFill>
        </w:rPr>
        <w:t>预案修订</w:t>
      </w:r>
    </w:p>
    <w:p>
      <w:pPr>
        <w:numPr>
          <w:ilvl w:val="0"/>
          <w:numId w:val="0"/>
        </w:numPr>
        <w:spacing w:before="40" w:after="40" w:line="400" w:lineRule="auto"/>
        <w:ind w:leftChars="0" w:firstLine="640" w:firstLineChars="200"/>
        <w:rPr>
          <w:color w:val="000000" w:themeColor="text1"/>
          <w:sz w:val="32"/>
          <w:szCs w:val="32"/>
          <w14:textFill>
            <w14:solidFill>
              <w14:schemeClr w14:val="tx1"/>
            </w14:solidFill>
          </w14:textFill>
        </w:rPr>
        <w:sectPr>
          <w:headerReference r:id="rId3" w:type="default"/>
          <w:footerReference r:id="rId4" w:type="default"/>
          <w:pgSz w:w="11906" w:h="16838"/>
          <w:pgMar w:top="1440" w:right="1440" w:bottom="1440" w:left="1440" w:header="708" w:footer="708" w:gutter="0"/>
          <w:pgNumType w:fmt="upperRoman" w:start="1"/>
          <w:cols w:space="720" w:num="1"/>
          <w:docGrid w:linePitch="360" w:charSpace="0"/>
        </w:sect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9.3</w:t>
      </w:r>
      <w:r>
        <w:rPr>
          <w:rFonts w:hint="eastAsia" w:ascii="楷体_GB2312" w:hAnsi="楷体_GB2312" w:eastAsia="楷体_GB2312" w:cs="楷体_GB2312"/>
          <w:b w:val="0"/>
          <w:bCs w:val="0"/>
          <w:color w:val="000000" w:themeColor="text1"/>
          <w:sz w:val="32"/>
          <w:szCs w:val="32"/>
          <w14:textFill>
            <w14:solidFill>
              <w14:schemeClr w14:val="tx1"/>
            </w14:solidFill>
          </w14:textFill>
        </w:rPr>
        <w:t>预案实施</w:t>
      </w:r>
    </w:p>
    <w:p>
      <w:pPr>
        <w:pStyle w:val="2"/>
        <w:keepNext w:val="0"/>
        <w:keepLines w:val="0"/>
        <w:pageBreakBefore w:val="0"/>
        <w:numPr>
          <w:ilvl w:val="0"/>
          <w:numId w:val="3"/>
        </w:numPr>
        <w:kinsoku/>
        <w:wordWrap/>
        <w:overflowPunct/>
        <w:topLinePunct w:val="0"/>
        <w:autoSpaceDE/>
        <w:autoSpaceDN/>
        <w:bidi w:val="0"/>
        <w:adjustRightInd/>
        <w:snapToGrid/>
        <w:spacing w:before="360" w:after="240" w:line="580" w:lineRule="exact"/>
        <w:jc w:val="left"/>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14:textFill>
            <w14:solidFill>
              <w14:schemeClr w14:val="tx1"/>
            </w14:solidFill>
          </w14:textFill>
        </w:rPr>
        <w:t>总  则</w:t>
      </w:r>
    </w:p>
    <w:p>
      <w:pPr>
        <w:pStyle w:val="2"/>
        <w:keepNext w:val="0"/>
        <w:keepLines w:val="0"/>
        <w:pageBreakBefore w:val="0"/>
        <w:numPr>
          <w:ilvl w:val="0"/>
          <w:numId w:val="0"/>
        </w:numPr>
        <w:kinsoku/>
        <w:wordWrap/>
        <w:overflowPunct/>
        <w:topLinePunct w:val="0"/>
        <w:autoSpaceDE/>
        <w:autoSpaceDN/>
        <w:bidi w:val="0"/>
        <w:adjustRightInd/>
        <w:snapToGrid/>
        <w:spacing w:before="360" w:after="240" w:line="580" w:lineRule="exact"/>
        <w:ind w:firstLine="643" w:firstLineChars="200"/>
        <w:jc w:val="lef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1.1</w:t>
      </w:r>
      <w:r>
        <w:rPr>
          <w:rFonts w:hint="eastAsia" w:ascii="楷体_GB2312" w:hAnsi="楷体_GB2312" w:eastAsia="楷体_GB2312" w:cs="楷体_GB2312"/>
          <w:b/>
          <w:bCs/>
          <w:color w:val="000000" w:themeColor="text1"/>
          <w:sz w:val="32"/>
          <w:szCs w:val="32"/>
          <w14:textFill>
            <w14:solidFill>
              <w14:schemeClr w14:val="tx1"/>
            </w14:solidFill>
          </w14:textFill>
        </w:rPr>
        <w:t xml:space="preserve"> 编制目的</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有效应对本市行政区域内可能发生的各类突发公共事件，建立健全统一、高效、科学的医疗资源应急保障体系，确保紧急状态下全市医疗床位、人员、药品、器械、血液及转运力量能够快速、精准、有序调配，最大限度减少人员伤亡和健康损害，维护社会大局稳定，特制定本预案。</w:t>
      </w:r>
    </w:p>
    <w:p>
      <w:pPr>
        <w:pStyle w:val="3"/>
        <w:keepNext w:val="0"/>
        <w:keepLines w:val="0"/>
        <w:pageBreakBefore w:val="0"/>
        <w:kinsoku/>
        <w:wordWrap/>
        <w:overflowPunct/>
        <w:topLinePunct w:val="0"/>
        <w:autoSpaceDE/>
        <w:autoSpaceDN/>
        <w:bidi w:val="0"/>
        <w:adjustRightInd/>
        <w:snapToGrid/>
        <w:spacing w:before="300" w:after="180" w:line="58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1.2</w:t>
      </w:r>
      <w:r>
        <w:rPr>
          <w:rFonts w:hint="eastAsia" w:ascii="楷体_GB2312" w:hAnsi="楷体_GB2312" w:eastAsia="楷体_GB2312" w:cs="楷体_GB2312"/>
          <w:b/>
          <w:bCs/>
          <w:color w:val="000000" w:themeColor="text1"/>
          <w:sz w:val="32"/>
          <w:szCs w:val="32"/>
          <w14:textFill>
            <w14:solidFill>
              <w14:schemeClr w14:val="tx1"/>
            </w14:solidFill>
          </w14:textFill>
        </w:rPr>
        <w:t>编制依据</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依据《中华人民共和国突发事件应对法》《中华人民共和国基本医疗卫生与健康促进法》《突发公共卫生事件应急条例》《海南省突发事件总体应急预案》《三亚市突发事件总体应急预案》及相关</w:t>
      </w:r>
      <w:r>
        <w:rPr>
          <w:rFonts w:hint="eastAsia" w:ascii="仿宋_GB2312" w:hAnsi="仿宋_GB2312" w:eastAsia="仿宋_GB2312" w:cs="仿宋_GB2312"/>
          <w:color w:val="000000" w:themeColor="text1"/>
          <w:sz w:val="32"/>
          <w:szCs w:val="32"/>
          <w:lang w:eastAsia="zh-CN"/>
          <w14:textFill>
            <w14:solidFill>
              <w14:schemeClr w14:val="tx1"/>
            </w14:solidFill>
          </w14:textFill>
        </w:rPr>
        <w:t>工作政策、法律法规等文件，特定本预案。</w:t>
      </w:r>
    </w:p>
    <w:p>
      <w:pPr>
        <w:pStyle w:val="3"/>
        <w:keepNext w:val="0"/>
        <w:keepLines w:val="0"/>
        <w:pageBreakBefore w:val="0"/>
        <w:kinsoku/>
        <w:wordWrap/>
        <w:overflowPunct/>
        <w:topLinePunct w:val="0"/>
        <w:autoSpaceDE/>
        <w:autoSpaceDN/>
        <w:bidi w:val="0"/>
        <w:adjustRightInd/>
        <w:snapToGrid/>
        <w:spacing w:before="300" w:after="180" w:line="58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1.3</w:t>
      </w:r>
      <w:r>
        <w:rPr>
          <w:rFonts w:hint="eastAsia" w:ascii="楷体_GB2312" w:hAnsi="楷体_GB2312" w:eastAsia="楷体_GB2312" w:cs="楷体_GB2312"/>
          <w:b/>
          <w:bCs/>
          <w:color w:val="000000" w:themeColor="text1"/>
          <w:sz w:val="32"/>
          <w:szCs w:val="32"/>
          <w14:textFill>
            <w14:solidFill>
              <w14:schemeClr w14:val="tx1"/>
            </w14:solidFill>
          </w14:textFill>
        </w:rPr>
        <w:t>适用范围</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本预案适用于三亚市行政区域内因自然灾害、事故灾难、突发公共卫生事件、社会安全事件</w:t>
      </w:r>
      <w:r>
        <w:rPr>
          <w:rFonts w:hint="eastAsia" w:ascii="仿宋_GB2312" w:hAnsi="仿宋_GB2312" w:eastAsia="仿宋_GB2312" w:cs="仿宋_GB2312"/>
          <w:color w:val="000000" w:themeColor="text1"/>
          <w:sz w:val="32"/>
          <w:szCs w:val="32"/>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所引发的医疗资源应急保障工作。</w:t>
      </w:r>
    </w:p>
    <w:p>
      <w:pPr>
        <w:pStyle w:val="3"/>
        <w:keepNext w:val="0"/>
        <w:keepLines w:val="0"/>
        <w:pageBreakBefore w:val="0"/>
        <w:kinsoku/>
        <w:wordWrap/>
        <w:overflowPunct/>
        <w:topLinePunct w:val="0"/>
        <w:autoSpaceDE/>
        <w:autoSpaceDN/>
        <w:bidi w:val="0"/>
        <w:adjustRightInd/>
        <w:snapToGrid/>
        <w:spacing w:before="300" w:after="180" w:line="58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1.4</w:t>
      </w:r>
      <w:r>
        <w:rPr>
          <w:rFonts w:hint="eastAsia" w:ascii="楷体_GB2312" w:hAnsi="楷体_GB2312" w:eastAsia="楷体_GB2312" w:cs="楷体_GB2312"/>
          <w:b/>
          <w:bCs/>
          <w:color w:val="000000" w:themeColor="text1"/>
          <w:sz w:val="32"/>
          <w:szCs w:val="32"/>
          <w14:textFill>
            <w14:solidFill>
              <w14:schemeClr w14:val="tx1"/>
            </w14:solidFill>
          </w14:textFill>
        </w:rPr>
        <w:t>工作原则</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 xml:space="preserve"> 政府主导，社会参与。坚持党委领导下的政府统一指挥，动员全社会力量参与医疗资源保障。</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人民至上，生命至上。把抢救生命放在首位，做到应救尽救、应收尽收、应治尽治。</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 xml:space="preserve"> 平急结合</w:t>
      </w:r>
      <w:r>
        <w:rPr>
          <w:rFonts w:hint="eastAsia" w:ascii="仿宋_GB2312" w:hAnsi="仿宋_GB2312" w:eastAsia="仿宋_GB2312" w:cs="仿宋_GB2312"/>
          <w:sz w:val="32"/>
          <w:szCs w:val="32"/>
        </w:rPr>
        <w:t>，常备不懈。平时做好资源普查、队伍训练和物资储备，急时迅速转换状态。</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属地为主，区域协同。事发地政府为第一响应主体，必要时请求省级及军队医疗力量支援。</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科学调配，精准保障。依托信息化手段，实现医疗资源的快速调度和精准投放。</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楷体_GB2312" w:hAnsi="楷体_GB2312" w:eastAsia="楷体_GB2312" w:cs="楷体_GB2312"/>
          <w:sz w:val="32"/>
          <w:szCs w:val="32"/>
        </w:rPr>
      </w:pPr>
      <w:r>
        <w:rPr>
          <w:rFonts w:hint="eastAsia" w:ascii="黑体" w:hAnsi="黑体" w:eastAsia="黑体" w:cs="黑体"/>
          <w:b/>
          <w:bCs/>
          <w:sz w:val="32"/>
          <w:szCs w:val="32"/>
          <w:lang w:val="en-US" w:eastAsia="zh-CN"/>
        </w:rPr>
        <w:t>2、</w:t>
      </w:r>
      <w:r>
        <w:rPr>
          <w:rFonts w:hint="eastAsia" w:ascii="黑体" w:hAnsi="黑体" w:eastAsia="黑体" w:cs="黑体"/>
          <w:b/>
          <w:bCs/>
          <w:sz w:val="32"/>
          <w:szCs w:val="32"/>
        </w:rPr>
        <w:t>组织指挥体系</w:t>
      </w:r>
    </w:p>
    <w:p>
      <w:pPr>
        <w:pStyle w:val="3"/>
        <w:keepNext w:val="0"/>
        <w:keepLines w:val="0"/>
        <w:pageBreakBefore w:val="0"/>
        <w:kinsoku/>
        <w:wordWrap/>
        <w:overflowPunct/>
        <w:topLinePunct w:val="0"/>
        <w:autoSpaceDE/>
        <w:autoSpaceDN/>
        <w:bidi w:val="0"/>
        <w:adjustRightInd/>
        <w:snapToGrid/>
        <w:spacing w:before="300" w:after="180" w:line="580" w:lineRule="exact"/>
        <w:ind w:left="638" w:leftChars="266" w:firstLine="0" w:firstLineChars="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2.1</w:t>
      </w:r>
      <w:r>
        <w:rPr>
          <w:rFonts w:hint="eastAsia" w:ascii="楷体_GB2312" w:hAnsi="楷体_GB2312" w:eastAsia="楷体_GB2312" w:cs="楷体_GB2312"/>
          <w:b/>
          <w:bCs/>
          <w:sz w:val="32"/>
          <w:szCs w:val="32"/>
        </w:rPr>
        <w:t xml:space="preserve">  领导机构</w:t>
      </w:r>
      <w:r>
        <w:rPr>
          <w:rFonts w:hint="eastAsia" w:ascii="楷体_GB2312" w:hAnsi="楷体_GB2312" w:eastAsia="楷体_GB2312" w:cs="楷体_GB2312"/>
          <w:b/>
          <w:bCs/>
          <w:sz w:val="32"/>
          <w:szCs w:val="32"/>
          <w:lang w:val="en-US" w:eastAsia="zh-CN"/>
        </w:rPr>
        <w:t xml:space="preserve">    </w:t>
      </w:r>
    </w:p>
    <w:p>
      <w:pPr>
        <w:pStyle w:val="3"/>
        <w:keepNext w:val="0"/>
        <w:keepLines w:val="0"/>
        <w:pageBreakBefore w:val="0"/>
        <w:kinsoku/>
        <w:wordWrap/>
        <w:overflowPunct/>
        <w:topLinePunct w:val="0"/>
        <w:autoSpaceDE/>
        <w:autoSpaceDN/>
        <w:bidi w:val="0"/>
        <w:adjustRightInd/>
        <w:snapToGrid/>
        <w:spacing w:before="300" w:after="180" w:line="580" w:lineRule="exact"/>
        <w:ind w:left="638" w:leftChars="266" w:firstLine="0" w:firstLineChars="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rPr>
        <w:t>设立三亚市医疗资源保障应急指挥部，作为全市医疗资源保障工作的最高指挥机构。</w:t>
      </w:r>
      <w:r>
        <w:rPr>
          <w:rFonts w:hint="eastAsia" w:ascii="仿宋_GB2312" w:hAnsi="仿宋_GB2312" w:eastAsia="仿宋_GB2312" w:cs="仿宋_GB2312"/>
          <w:b/>
          <w:bCs/>
          <w:sz w:val="32"/>
          <w:szCs w:val="32"/>
          <w:lang w:val="en-US" w:eastAsia="zh-CN"/>
        </w:rPr>
        <w:t xml:space="preserve">                              </w:t>
      </w:r>
    </w:p>
    <w:p>
      <w:pPr>
        <w:pStyle w:val="3"/>
        <w:keepNext w:val="0"/>
        <w:keepLines w:val="0"/>
        <w:pageBreakBefore w:val="0"/>
        <w:kinsoku/>
        <w:wordWrap/>
        <w:overflowPunct/>
        <w:topLinePunct w:val="0"/>
        <w:autoSpaceDE/>
        <w:autoSpaceDN/>
        <w:bidi w:val="0"/>
        <w:adjustRightInd/>
        <w:snapToGrid/>
        <w:spacing w:before="300" w:after="180" w:line="580" w:lineRule="exact"/>
        <w:ind w:left="638" w:leftChars="266" w:firstLine="0" w:firstLineChars="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指 挥 长：市政府分管卫生健康工作的副市长</w:t>
      </w:r>
    </w:p>
    <w:p>
      <w:pPr>
        <w:keepNext w:val="0"/>
        <w:keepLines w:val="0"/>
        <w:pageBreakBefore w:val="0"/>
        <w:kinsoku/>
        <w:wordWrap/>
        <w:overflowPunct/>
        <w:topLinePunct w:val="0"/>
        <w:autoSpaceDE/>
        <w:autoSpaceDN/>
        <w:bidi w:val="0"/>
        <w:adjustRightInd/>
        <w:snapToGrid/>
        <w:spacing w:before="80" w:after="80"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副指挥长：市政府分管副秘书长、市卫生健康委主任、市应急管理局局长</w:t>
      </w:r>
    </w:p>
    <w:p>
      <w:pPr>
        <w:keepNext w:val="0"/>
        <w:keepLines w:val="0"/>
        <w:pageBreakBefore w:val="0"/>
        <w:kinsoku/>
        <w:wordWrap/>
        <w:overflowPunct/>
        <w:topLinePunct w:val="0"/>
        <w:autoSpaceDE/>
        <w:autoSpaceDN/>
        <w:bidi w:val="0"/>
        <w:adjustRightInd/>
        <w:snapToGrid/>
        <w:spacing w:before="40" w:after="40" w:line="580" w:lineRule="exact"/>
        <w:ind w:firstLine="640" w:firstLineChars="200"/>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rPr>
        <w:t>成员单位：</w:t>
      </w:r>
      <w:r>
        <w:rPr>
          <w:rFonts w:hint="eastAsia" w:ascii="仿宋_GB2312" w:hAnsi="仿宋_GB2312" w:eastAsia="仿宋_GB2312" w:cs="仿宋_GB2312"/>
          <w:sz w:val="32"/>
          <w:szCs w:val="32"/>
          <w:lang w:eastAsia="zh-CN"/>
        </w:rPr>
        <w:t>市卫生健康委员会、市应急管理局、</w:t>
      </w:r>
      <w:r>
        <w:rPr>
          <w:rFonts w:hint="eastAsia" w:ascii="仿宋_GB2312" w:hAnsi="仿宋_GB2312" w:eastAsia="仿宋_GB2312" w:cs="仿宋_GB2312"/>
          <w:sz w:val="32"/>
          <w:szCs w:val="32"/>
        </w:rPr>
        <w:t>市委宣传部、市委网信办、市财政局、市公安局、市交通运输局、</w:t>
      </w:r>
      <w:r>
        <w:rPr>
          <w:rFonts w:hint="eastAsia" w:ascii="仿宋_GB2312" w:hAnsi="仿宋_GB2312" w:eastAsia="仿宋_GB2312" w:cs="仿宋_GB2312"/>
          <w:b w:val="0"/>
          <w:bCs w:val="0"/>
          <w:sz w:val="32"/>
          <w:szCs w:val="32"/>
          <w:lang w:val="en-US" w:eastAsia="zh-CN"/>
        </w:rPr>
        <w:t>三亚海事局、中国民用航空三亚安全监督管理局、三亚海关、三亚机场海关、</w:t>
      </w:r>
      <w:r>
        <w:rPr>
          <w:rFonts w:hint="eastAsia" w:ascii="仿宋_GB2312" w:hAnsi="仿宋_GB2312" w:eastAsia="仿宋_GB2312" w:cs="仿宋_GB2312"/>
          <w:sz w:val="32"/>
          <w:szCs w:val="32"/>
        </w:rPr>
        <w:t>市市场监督管理局、市医疗保障局、</w:t>
      </w:r>
      <w:r>
        <w:rPr>
          <w:rFonts w:hint="eastAsia" w:ascii="仿宋_GB2312" w:hAnsi="仿宋_GB2312" w:eastAsia="仿宋_GB2312" w:cs="仿宋_GB2312"/>
          <w:sz w:val="32"/>
          <w:szCs w:val="32"/>
          <w:lang w:eastAsia="zh-CN"/>
        </w:rPr>
        <w:t>市医疗保险服务中心、</w:t>
      </w:r>
      <w:r>
        <w:rPr>
          <w:rFonts w:hint="eastAsia" w:ascii="仿宋_GB2312" w:hAnsi="仿宋_GB2312" w:eastAsia="仿宋_GB2312" w:cs="仿宋_GB2312"/>
          <w:sz w:val="32"/>
          <w:szCs w:val="32"/>
        </w:rPr>
        <w:t>市红十字会、</w:t>
      </w:r>
      <w:r>
        <w:rPr>
          <w:rFonts w:hint="eastAsia" w:ascii="仿宋_GB2312" w:hAnsi="仿宋_GB2312" w:eastAsia="仿宋_GB2312" w:cs="仿宋_GB2312"/>
          <w:sz w:val="32"/>
          <w:szCs w:val="32"/>
          <w:lang w:eastAsia="zh-CN"/>
        </w:rPr>
        <w:t>市医疗紧急救援中心、市疾病预防控制中心、市消防救援支队（市消防救援局）、市旅游和文化广电体育局、市农业农村局、市林业局、</w:t>
      </w:r>
      <w:r>
        <w:rPr>
          <w:rFonts w:hint="eastAsia" w:ascii="仿宋_GB2312" w:hAnsi="仿宋_GB2312" w:eastAsia="仿宋_GB2312" w:cs="仿宋_GB2312"/>
          <w:sz w:val="32"/>
          <w:szCs w:val="32"/>
        </w:rPr>
        <w:t>三亚警备区保障处、各区政府、育才生态区管委会、</w:t>
      </w:r>
      <w:r>
        <w:rPr>
          <w:rFonts w:hint="eastAsia" w:ascii="仿宋_GB2312" w:hAnsi="仿宋_GB2312" w:eastAsia="仿宋_GB2312" w:cs="仿宋_GB2312"/>
          <w:sz w:val="32"/>
          <w:szCs w:val="32"/>
          <w:lang w:eastAsia="zh-CN"/>
        </w:rPr>
        <w:t>各区卫生健康委员会（吉阳区卫生健康委员会、天涯区卫生健康委员会、崖州区卫生健康委员会、海棠区卫生健康委员会、育才生态区教科卫健局）、</w:t>
      </w:r>
      <w:r>
        <w:rPr>
          <w:rFonts w:hint="eastAsia" w:ascii="仿宋_GB2312" w:hAnsi="仿宋_GB2312" w:eastAsia="仿宋_GB2312" w:cs="仿宋_GB2312"/>
          <w:sz w:val="32"/>
          <w:szCs w:val="32"/>
        </w:rPr>
        <w:t>全市二级及以上医疗机构</w:t>
      </w:r>
      <w:r>
        <w:rPr>
          <w:rFonts w:hint="eastAsia" w:ascii="仿宋_GB2312" w:hAnsi="仿宋_GB2312" w:eastAsia="仿宋_GB2312" w:cs="仿宋_GB2312"/>
          <w:sz w:val="32"/>
          <w:szCs w:val="32"/>
          <w:lang w:eastAsia="zh-CN"/>
        </w:rPr>
        <w:t>（三亚中心医院、市人民医院、市中医院、市妇幼保健院、</w:t>
      </w:r>
      <w:r>
        <w:rPr>
          <w:rFonts w:hint="eastAsia" w:ascii="仿宋_GB2312" w:hAnsi="仿宋_GB2312" w:eastAsia="仿宋_GB2312" w:cs="仿宋_GB2312"/>
          <w:b w:val="0"/>
          <w:bCs w:val="0"/>
          <w:color w:val="000000"/>
          <w:sz w:val="32"/>
          <w:szCs w:val="32"/>
        </w:rPr>
        <w:t>市公共卫生临床中心</w:t>
      </w:r>
      <w:r>
        <w:rPr>
          <w:rFonts w:hint="eastAsia" w:ascii="仿宋_GB2312" w:hAnsi="仿宋_GB2312" w:eastAsia="仿宋_GB2312" w:cs="仿宋_GB2312"/>
          <w:b w:val="0"/>
          <w:bCs w:val="0"/>
          <w:color w:val="000000"/>
          <w:sz w:val="32"/>
          <w:szCs w:val="32"/>
          <w:lang w:eastAsia="zh-CN"/>
        </w:rPr>
        <w:t>、市第二人民医院、三亚崖州湾科技城医院、</w:t>
      </w:r>
      <w:r>
        <w:rPr>
          <w:rFonts w:hint="eastAsia" w:ascii="仿宋_GB2312" w:hAnsi="仿宋_GB2312" w:eastAsia="仿宋_GB2312" w:cs="仿宋_GB2312"/>
          <w:b w:val="0"/>
          <w:bCs w:val="0"/>
          <w:color w:val="000000"/>
          <w:sz w:val="32"/>
          <w:szCs w:val="32"/>
        </w:rPr>
        <w:t>南部战区海军第二医院（425医院）</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解放军总医院海南医院</w:t>
      </w:r>
      <w:r>
        <w:rPr>
          <w:rFonts w:hint="eastAsia" w:ascii="仿宋_GB2312" w:hAnsi="仿宋_GB2312" w:eastAsia="仿宋_GB2312" w:cs="仿宋_GB2312"/>
          <w:b w:val="0"/>
          <w:bCs w:val="0"/>
          <w:color w:val="000000"/>
          <w:sz w:val="32"/>
          <w:szCs w:val="32"/>
          <w:lang w:eastAsia="zh-CN"/>
        </w:rPr>
        <w:t>等</w:t>
      </w:r>
      <w:bookmarkStart w:id="0" w:name="_GoBack"/>
      <w:bookmarkEnd w:id="0"/>
      <w:r>
        <w:rPr>
          <w:rFonts w:hint="eastAsia" w:ascii="仿宋_GB2312" w:hAnsi="仿宋_GB2312" w:eastAsia="仿宋_GB2312" w:cs="仿宋_GB2312"/>
          <w:b w:val="0"/>
          <w:bCs w:val="0"/>
          <w:color w:val="000000"/>
          <w:sz w:val="32"/>
          <w:szCs w:val="32"/>
          <w:lang w:eastAsia="zh-CN"/>
        </w:rPr>
        <w:t>）、海南省血液中心三亚分中心</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2.2</w:t>
      </w:r>
      <w:r>
        <w:rPr>
          <w:rFonts w:hint="eastAsia" w:ascii="楷体_GB2312" w:hAnsi="楷体_GB2312" w:eastAsia="楷体_GB2312" w:cs="楷体_GB2312"/>
          <w:b/>
          <w:bCs/>
          <w:sz w:val="32"/>
          <w:szCs w:val="32"/>
        </w:rPr>
        <w:t>办事机构</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指挥部下设办公室，设在市卫生健康委，承担日常管理工作。办公室主任由市卫生健康委分管应急工作的副主任兼任。主要职责：</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负责预案的编制、修订和演练组织。</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负责全市医疗资源的普查、建档和动态监测管理。</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负责应急值班值守和信息报送。</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应急状态下，提出资源调配方案，下达调度指令。</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楷体_GB2312" w:hAnsi="楷体_GB2312" w:eastAsia="楷体_GB2312" w:cs="楷体_GB2312"/>
          <w:b/>
          <w:bCs/>
          <w:sz w:val="32"/>
          <w:szCs w:val="32"/>
          <w:lang w:val="en" w:eastAsia="zh-CN"/>
        </w:rPr>
      </w:pPr>
      <w:r>
        <w:rPr>
          <w:rFonts w:hint="eastAsia" w:ascii="楷体_GB2312" w:hAnsi="楷体_GB2312" w:eastAsia="楷体_GB2312" w:cs="楷体_GB2312"/>
          <w:b/>
          <w:bCs/>
          <w:sz w:val="32"/>
          <w:szCs w:val="32"/>
          <w:lang w:val="en"/>
        </w:rPr>
        <w:t>2.3</w:t>
      </w:r>
      <w:r>
        <w:rPr>
          <w:rFonts w:hint="eastAsia" w:ascii="楷体_GB2312" w:hAnsi="楷体_GB2312" w:eastAsia="楷体_GB2312" w:cs="楷体_GB2312"/>
          <w:b/>
          <w:bCs/>
          <w:sz w:val="32"/>
          <w:szCs w:val="32"/>
          <w:lang w:val="en" w:eastAsia="zh-CN"/>
        </w:rPr>
        <w:t>专家组</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指挥部下设专家组，由市卫生健康委牵头组建，成员从全市二级及以上医疗机构、市疾病预防控制中心、</w:t>
      </w:r>
      <w:r>
        <w:rPr>
          <w:rFonts w:hint="eastAsia" w:ascii="仿宋_GB2312" w:hAnsi="仿宋_GB2312" w:eastAsia="仿宋_GB2312" w:cs="仿宋_GB2312"/>
          <w:sz w:val="32"/>
          <w:szCs w:val="32"/>
          <w:lang w:eastAsia="zh-CN"/>
        </w:rPr>
        <w:t>市应急管理局</w:t>
      </w:r>
      <w:r>
        <w:rPr>
          <w:rFonts w:hint="eastAsia" w:ascii="仿宋_GB2312" w:hAnsi="仿宋_GB2312" w:eastAsia="仿宋_GB2312" w:cs="仿宋_GB2312"/>
          <w:sz w:val="32"/>
          <w:szCs w:val="32"/>
        </w:rPr>
        <w:t>等单位中遴选，涵盖急诊医学、重症医学、传染病学、药学、血液管理、护理等领域的专家。专家组主要职责：</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（1）为应急响应的启动、调整和终止提供专业技术评估和决策咨询。</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（2）参与医疗资源调配方案的论证，对疑难危重伤病员救治提供技术指导。</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0" w:firstLineChars="0"/>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rPr>
        <w:t>（3）参与预案演练评估和预案修订的技术审核。</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b/>
          <w:bCs/>
          <w:sz w:val="32"/>
          <w:szCs w:val="32"/>
          <w:lang w:val="en-US" w:eastAsia="zh-CN"/>
        </w:rPr>
        <w:t>3、</w:t>
      </w:r>
      <w:r>
        <w:rPr>
          <w:rFonts w:hint="eastAsia" w:ascii="黑体" w:hAnsi="黑体" w:eastAsia="黑体" w:cs="黑体"/>
          <w:b/>
          <w:bCs/>
          <w:sz w:val="32"/>
          <w:szCs w:val="32"/>
        </w:rPr>
        <w:t xml:space="preserve"> 成员单位职责分工</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3.1</w:t>
      </w:r>
      <w:r>
        <w:rPr>
          <w:rFonts w:hint="eastAsia" w:ascii="楷体_GB2312" w:hAnsi="楷体_GB2312" w:eastAsia="楷体_GB2312" w:cs="楷体_GB2312"/>
          <w:b/>
          <w:bCs/>
          <w:sz w:val="32"/>
          <w:szCs w:val="32"/>
        </w:rPr>
        <w:t xml:space="preserve"> 市卫生健康委</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承担指挥部办公室日常工作，负责预案编制、修订和演练组织。</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负责全市医疗资源的普查、建档和动态监测管理。</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组建和管理市级医疗卫生应急机动队。</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）根据事件性质、危害程度和医疗资源需求评估结果，向市医疗资源保障应急指挥部提出启动、调整或终止相应级别医疗卫生应急响应的建议。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（5） 督促指导涉事医疗机构和临时医疗点落实预检分诊、医院感染防控、消毒隔离等措施，保障医疗救治秩序，防范院内交叉感染。   </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 xml:space="preserve"> 应急状态下，提出资源调配方案，下达调度指令。</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组织专家开展医疗救治指导和心理援助。</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负责应急值守和信息报送。</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lang w:eastAsia="zh-CN"/>
          <w14:textFill>
            <w14:solidFill>
              <w14:schemeClr w14:val="tx1"/>
            </w14:solidFill>
          </w14:textFill>
        </w:rPr>
        <w:t>）负责生物致伤（含蛇咬伤）等专项应急医疗资源的统筹管理，组织开展蛇咬伤监测、数据汇总和公众科普宣传。</w:t>
      </w:r>
    </w:p>
    <w:p>
      <w:pPr>
        <w:keepNext w:val="0"/>
        <w:keepLines w:val="0"/>
        <w:pageBreakBefore w:val="0"/>
        <w:widowControl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（10）负责应急医疗物资的储备、采购管理，协调生产、调配和运输，以及应急物资储备库的建设和日常管理。</w:t>
      </w:r>
    </w:p>
    <w:p>
      <w:pPr>
        <w:keepNext w:val="0"/>
        <w:keepLines w:val="0"/>
        <w:pageBreakBefore w:val="0"/>
        <w:widowControl w:val="0"/>
        <w:kinsoku/>
        <w:wordWrap/>
        <w:overflowPunct/>
        <w:topLinePunct w:val="0"/>
        <w:autoSpaceDE/>
        <w:autoSpaceDN/>
        <w:bidi w:val="0"/>
        <w:adjustRightInd/>
        <w:snapToGrid/>
        <w:spacing w:after="100" w:line="580" w:lineRule="exact"/>
        <w:ind w:firstLine="320" w:firstLineChars="1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海上伤情研判通报三亚海事局，航空口岸检疫通报民航三亚监管局。</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3.2</w:t>
      </w:r>
      <w:r>
        <w:rPr>
          <w:rFonts w:hint="eastAsia" w:ascii="楷体_GB2312" w:hAnsi="楷体_GB2312" w:eastAsia="楷体_GB2312" w:cs="楷体_GB2312"/>
          <w:b/>
          <w:bCs/>
          <w:color w:val="000000" w:themeColor="text1"/>
          <w:sz w:val="32"/>
          <w:szCs w:val="32"/>
          <w14:textFill>
            <w14:solidFill>
              <w14:schemeClr w14:val="tx1"/>
            </w14:solidFill>
          </w14:textFill>
        </w:rPr>
        <w:t>市应急管理局</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协助指挥部做好综合协调工作。</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）协调全市各类应急专业队伍参与突发事件应急救援工作。</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3.3</w:t>
      </w:r>
      <w:r>
        <w:rPr>
          <w:rFonts w:hint="eastAsia" w:ascii="楷体_GB2312" w:hAnsi="楷体_GB2312" w:eastAsia="楷体_GB2312" w:cs="楷体_GB2312"/>
          <w:b/>
          <w:bCs/>
          <w:color w:val="000000" w:themeColor="text1"/>
          <w:sz w:val="32"/>
          <w:szCs w:val="32"/>
          <w14:textFill>
            <w14:solidFill>
              <w14:schemeClr w14:val="tx1"/>
            </w14:solidFill>
          </w14:textFill>
        </w:rPr>
        <w:t>市委宣传部</w:t>
      </w:r>
    </w:p>
    <w:p>
      <w:pPr>
        <w:keepNext w:val="0"/>
        <w:keepLines w:val="0"/>
        <w:pageBreakBefore w:val="0"/>
        <w:numPr>
          <w:ilvl w:val="0"/>
          <w:numId w:val="4"/>
        </w:numPr>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指导应急期间的新闻发布和舆论引导。</w:t>
      </w:r>
    </w:p>
    <w:p>
      <w:pPr>
        <w:keepNext w:val="0"/>
        <w:keepLines w:val="0"/>
        <w:pageBreakBefore w:val="0"/>
        <w:numPr>
          <w:ilvl w:val="0"/>
          <w:numId w:val="4"/>
        </w:numPr>
        <w:kinsoku/>
        <w:wordWrap/>
        <w:overflowPunct/>
        <w:topLinePunct w:val="0"/>
        <w:autoSpaceDE/>
        <w:autoSpaceDN/>
        <w:bidi w:val="0"/>
        <w:adjustRightInd/>
        <w:snapToGrid/>
        <w:spacing w:before="60" w:after="60" w:line="580" w:lineRule="exact"/>
        <w:ind w:left="560" w:leftChars="0" w:hanging="28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协调</w:t>
      </w:r>
      <w:r>
        <w:rPr>
          <w:rFonts w:hint="eastAsia" w:ascii="仿宋_GB2312" w:hAnsi="仿宋_GB2312" w:eastAsia="仿宋_GB2312" w:cs="仿宋_GB2312"/>
          <w:sz w:val="32"/>
          <w:szCs w:val="32"/>
          <w:lang w:eastAsia="zh-CN"/>
        </w:rPr>
        <w:t>相关</w:t>
      </w:r>
      <w:r>
        <w:rPr>
          <w:rFonts w:hint="eastAsia" w:ascii="仿宋_GB2312" w:hAnsi="仿宋_GB2312" w:eastAsia="仿宋_GB2312" w:cs="仿宋_GB2312"/>
          <w:sz w:val="32"/>
          <w:szCs w:val="32"/>
        </w:rPr>
        <w:t>媒体发布权威信息</w:t>
      </w:r>
      <w:r>
        <w:rPr>
          <w:rFonts w:hint="eastAsia" w:ascii="仿宋_GB2312" w:hAnsi="仿宋_GB2312" w:eastAsia="仿宋_GB2312" w:cs="仿宋_GB2312"/>
          <w:sz w:val="32"/>
          <w:szCs w:val="32"/>
          <w:lang w:eastAsia="zh-CN"/>
        </w:rPr>
        <w:t>，开展科普宣传和正面宣传报道。</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3.4</w:t>
      </w:r>
      <w:r>
        <w:rPr>
          <w:rFonts w:hint="eastAsia" w:ascii="楷体_GB2312" w:hAnsi="楷体_GB2312" w:eastAsia="楷体_GB2312" w:cs="楷体_GB2312"/>
          <w:b/>
          <w:bCs/>
          <w:sz w:val="32"/>
          <w:szCs w:val="32"/>
        </w:rPr>
        <w:t>市委网信办</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负责网络舆情的监测、分析和管控。</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）及时联动公安部门处置网络谣言和不实信息。</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协调网络平台做好信息发布和辟谣工作。</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pPr>
      <w:r>
        <w:rPr>
          <w:rFonts w:hint="eastAsia" w:ascii="楷体_GB2312" w:hAnsi="楷体_GB2312" w:eastAsia="楷体_GB2312" w:cs="楷体_GB2312"/>
          <w:b/>
          <w:bCs/>
          <w:sz w:val="32"/>
          <w:szCs w:val="32"/>
          <w:lang w:val="en-US" w:eastAsia="zh-CN"/>
        </w:rPr>
        <w:t>3.5</w:t>
      </w:r>
      <w:r>
        <w:rPr>
          <w:rFonts w:hint="eastAsia" w:ascii="楷体_GB2312" w:hAnsi="楷体_GB2312" w:eastAsia="楷体_GB2312" w:cs="楷体_GB2312"/>
          <w:b/>
          <w:bCs/>
          <w:sz w:val="32"/>
          <w:szCs w:val="32"/>
        </w:rPr>
        <w:t>市财政局</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负责应急保障资金的预算安排和拨付。</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保障应急处置、物资采购和演练培训所需经费。</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对应急资金使用情况进行监督检查。</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3.6</w:t>
      </w:r>
      <w:r>
        <w:rPr>
          <w:rFonts w:hint="eastAsia" w:ascii="楷体_GB2312" w:hAnsi="楷体_GB2312" w:eastAsia="楷体_GB2312" w:cs="楷体_GB2312"/>
          <w:b/>
          <w:bCs/>
          <w:sz w:val="32"/>
          <w:szCs w:val="32"/>
        </w:rPr>
        <w:t>市公安局</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负责维护医疗救治现场的治安秩序。</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保障救护车辆优先通行，必要时实施临时交通管制。</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lang w:val="en" w:eastAsia="zh-CN"/>
        </w:rPr>
        <w:t>3</w:t>
      </w:r>
      <w:r>
        <w:rPr>
          <w:rFonts w:hint="eastAsia" w:ascii="仿宋_GB2312" w:hAnsi="仿宋_GB2312" w:eastAsia="仿宋_GB2312" w:cs="仿宋_GB2312"/>
          <w:sz w:val="32"/>
          <w:szCs w:val="32"/>
          <w:lang w:eastAsia="zh-CN"/>
        </w:rPr>
        <w:t>）负责开设应急运输绿色通道。</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default" w:ascii="仿宋_GB2312" w:hAnsi="仿宋_GB2312" w:eastAsia="仿宋_GB2312" w:cs="仿宋_GB2312"/>
          <w:color w:val="000000" w:themeColor="text1"/>
          <w:sz w:val="32"/>
          <w:szCs w:val="32"/>
          <w:lang w:val="en"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）协助开展失联人员搜寻排查，配合卫生健康部门、市医疗紧急救援中心和医疗机构做好伤员转运期间道路交通通行保障、现场秩序维护和安全保障。</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default" w:ascii="仿宋_GB2312" w:hAnsi="仿宋_GB2312" w:eastAsia="仿宋_GB2312" w:cs="仿宋_GB2312"/>
          <w:color w:val="000000" w:themeColor="text1"/>
          <w:sz w:val="32"/>
          <w:szCs w:val="32"/>
          <w:lang w:val="en" w:eastAsia="zh-CN"/>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依法查处扰乱医疗秩序的违法行为。</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lang w:eastAsia="zh-CN"/>
          <w14:textFill>
            <w14:solidFill>
              <w14:schemeClr w14:val="tx1"/>
            </w14:solidFill>
          </w14:textFill>
        </w:rPr>
        <w:t>）配合市委网信办做好网络谣言和不实信息处置工作，对网信办移送、通报的涉嫌违法犯罪线索及时核查、依法查处并反馈结果。</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3.7</w:t>
      </w:r>
      <w:r>
        <w:rPr>
          <w:rFonts w:hint="eastAsia" w:ascii="楷体_GB2312" w:hAnsi="楷体_GB2312" w:eastAsia="楷体_GB2312" w:cs="楷体_GB2312"/>
          <w:b/>
          <w:bCs/>
          <w:color w:val="000000" w:themeColor="text1"/>
          <w:sz w:val="32"/>
          <w:szCs w:val="32"/>
          <w14:textFill>
            <w14:solidFill>
              <w14:schemeClr w14:val="tx1"/>
            </w14:solidFill>
          </w14:textFill>
        </w:rPr>
        <w:t>市交通运输局</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协调征用</w:t>
      </w:r>
      <w:r>
        <w:rPr>
          <w:rFonts w:hint="eastAsia" w:ascii="仿宋_GB2312" w:hAnsi="仿宋_GB2312" w:eastAsia="仿宋_GB2312" w:cs="仿宋_GB2312"/>
          <w:color w:val="000000" w:themeColor="text1"/>
          <w:sz w:val="32"/>
          <w:szCs w:val="32"/>
          <w:lang w:eastAsia="zh-CN"/>
          <w14:textFill>
            <w14:solidFill>
              <w14:schemeClr w14:val="tx1"/>
            </w14:solidFill>
          </w14:textFill>
        </w:rPr>
        <w:t>或调集</w:t>
      </w:r>
      <w:r>
        <w:rPr>
          <w:rFonts w:hint="eastAsia" w:ascii="仿宋_GB2312" w:hAnsi="仿宋_GB2312" w:eastAsia="仿宋_GB2312" w:cs="仿宋_GB2312"/>
          <w:color w:val="000000" w:themeColor="text1"/>
          <w:sz w:val="32"/>
          <w:szCs w:val="32"/>
          <w14:textFill>
            <w14:solidFill>
              <w14:schemeClr w14:val="tx1"/>
            </w14:solidFill>
          </w14:textFill>
        </w:rPr>
        <w:t>客运、货运车辆</w:t>
      </w:r>
      <w:r>
        <w:rPr>
          <w:rFonts w:hint="eastAsia" w:ascii="仿宋_GB2312" w:hAnsi="仿宋_GB2312" w:eastAsia="仿宋_GB2312" w:cs="仿宋_GB2312"/>
          <w:color w:val="000000" w:themeColor="text1"/>
          <w:sz w:val="32"/>
          <w:szCs w:val="32"/>
          <w:lang w:eastAsia="zh-CN"/>
          <w14:textFill>
            <w14:solidFill>
              <w14:schemeClr w14:val="tx1"/>
            </w14:solidFill>
          </w14:textFill>
        </w:rPr>
        <w:t>及公交车、出租车等运力，保障人员、物资及必要时轻症患者等相关人员转运。</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）协调港口应急通道畅通。</w:t>
      </w:r>
    </w:p>
    <w:p>
      <w:pPr>
        <w:keepNext w:val="0"/>
        <w:keepLines w:val="0"/>
        <w:pageBreakBefore w:val="0"/>
        <w:kinsoku/>
        <w:wordWrap/>
        <w:overflowPunct/>
        <w:topLinePunct w:val="0"/>
        <w:autoSpaceDE/>
        <w:autoSpaceDN/>
        <w:bidi w:val="0"/>
        <w:adjustRightInd/>
        <w:snapToGrid/>
        <w:spacing w:after="100" w:line="580" w:lineRule="exact"/>
        <w:ind w:firstLine="320" w:firstLineChars="1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涉海通道协调由三亚海事局负责，涉空通道</w:t>
      </w:r>
      <w:r>
        <w:rPr>
          <w:rFonts w:hint="eastAsia" w:ascii="仿宋_GB2312" w:hAnsi="仿宋_GB2312" w:eastAsia="仿宋_GB2312" w:cs="仿宋_GB2312"/>
          <w:color w:val="000000" w:themeColor="text1"/>
          <w:sz w:val="32"/>
          <w:szCs w:val="32"/>
          <w:lang w:eastAsia="zh-CN"/>
          <w14:textFill>
            <w14:solidFill>
              <w14:schemeClr w14:val="tx1"/>
            </w14:solidFill>
          </w14:textFill>
        </w:rPr>
        <w:t>及机场应急通道</w:t>
      </w:r>
      <w:r>
        <w:rPr>
          <w:rFonts w:hint="eastAsia" w:ascii="仿宋_GB2312" w:hAnsi="仿宋_GB2312" w:eastAsia="仿宋_GB2312" w:cs="仿宋_GB2312"/>
          <w:color w:val="000000" w:themeColor="text1"/>
          <w:sz w:val="32"/>
          <w:szCs w:val="32"/>
          <w14:textFill>
            <w14:solidFill>
              <w14:schemeClr w14:val="tx1"/>
            </w14:solidFill>
          </w14:textFill>
        </w:rPr>
        <w:t>协调由民航三亚监管局负责。</w:t>
      </w:r>
    </w:p>
    <w:p>
      <w:pPr>
        <w:pStyle w:val="3"/>
        <w:keepNext w:val="0"/>
        <w:keepLines w:val="0"/>
        <w:pageBreakBefore w:val="0"/>
        <w:kinsoku/>
        <w:wordWrap/>
        <w:overflowPunct/>
        <w:topLinePunct w:val="0"/>
        <w:autoSpaceDE/>
        <w:autoSpaceDN/>
        <w:bidi w:val="0"/>
        <w:adjustRightInd/>
        <w:snapToGrid/>
        <w:spacing w:before="280" w:after="160" w:line="580" w:lineRule="exact"/>
        <w:textAlignment w:val="auto"/>
      </w:pPr>
      <w:r>
        <w:rPr>
          <w:rFonts w:hint="eastAsia" w:ascii="楷体_GB2312" w:hAnsi="楷体_GB2312" w:eastAsia="楷体_GB2312" w:cs="楷体_GB2312"/>
          <w:b/>
          <w:bCs/>
          <w:color w:val="000000" w:themeColor="text1"/>
          <w:sz w:val="32"/>
          <w:szCs w:val="32"/>
          <w14:textFill>
            <w14:solidFill>
              <w14:schemeClr w14:val="tx1"/>
            </w14:solidFill>
          </w14:textFill>
        </w:rPr>
        <w:t>3.</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8</w:t>
      </w:r>
      <w:r>
        <w:rPr>
          <w:rFonts w:hint="eastAsia" w:ascii="楷体_GB2312" w:hAnsi="楷体_GB2312" w:eastAsia="楷体_GB2312" w:cs="楷体_GB2312"/>
          <w:b/>
          <w:bCs/>
          <w:color w:val="000000" w:themeColor="text1"/>
          <w:sz w:val="32"/>
          <w:szCs w:val="32"/>
          <w14:textFill>
            <w14:solidFill>
              <w14:schemeClr w14:val="tx1"/>
            </w14:solidFill>
          </w14:textFill>
        </w:rPr>
        <w:t>三亚海事局（三亚海上搜救分中心）</w:t>
      </w:r>
    </w:p>
    <w:p>
      <w:pPr>
        <w:keepNext w:val="0"/>
        <w:keepLines w:val="0"/>
        <w:pageBreakBefore w:val="0"/>
        <w:kinsoku/>
        <w:wordWrap/>
        <w:overflowPunct/>
        <w:topLinePunct w:val="0"/>
        <w:autoSpaceDE/>
        <w:autoSpaceDN/>
        <w:bidi w:val="0"/>
        <w:adjustRightInd/>
        <w:snapToGrid/>
        <w:spacing w:after="100" w:line="580"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在市医疗资源保障应急指挥部统一指挥下，承担涉海涉水突发事件伤病员海上搜寻、海空接力转运与海上绿色通道保障：</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接收船舶、海上平台、涉海旅游及赛事人员突发伤病或伤亡险情报送，快速核实位置与态势，通报市卫健委、市应急管理局。</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牵头组织海上搜救，协调南海第一救助飞行队等力量实施直升机吊运；会同市卫健委指定医疗机构提供远程海上医疗咨询，或派医护人员随船/随机赴现场救治。</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对海上现场及水上通道实行交通管制，开通海上应急救援绿色通道，优先安排救助船舶、救助航空器行动。</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伤员抵三亚港、南山港或凤凰机场后，与市120、定点医院完成交接并通报卫健部门；力量不足时向海南省海上搜救中心请求支援。</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涉出入境船舶、船员时，会同三亚海关处理卫生检疫与通关验放。</w:t>
      </w:r>
    </w:p>
    <w:p>
      <w:pPr>
        <w:pStyle w:val="3"/>
        <w:keepNext w:val="0"/>
        <w:keepLines w:val="0"/>
        <w:pageBreakBefore w:val="0"/>
        <w:kinsoku/>
        <w:wordWrap/>
        <w:overflowPunct/>
        <w:topLinePunct w:val="0"/>
        <w:autoSpaceDE/>
        <w:autoSpaceDN/>
        <w:bidi w:val="0"/>
        <w:adjustRightInd/>
        <w:snapToGrid/>
        <w:spacing w:before="280" w:after="16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9</w:t>
      </w:r>
      <w:r>
        <w:rPr>
          <w:rFonts w:hint="eastAsia" w:ascii="楷体_GB2312" w:hAnsi="楷体_GB2312" w:eastAsia="楷体_GB2312" w:cs="楷体_GB2312"/>
          <w:b/>
          <w:bCs/>
          <w:color w:val="000000" w:themeColor="text1"/>
          <w:sz w:val="32"/>
          <w:szCs w:val="32"/>
          <w14:textFill>
            <w14:solidFill>
              <w14:schemeClr w14:val="tx1"/>
            </w14:solidFill>
          </w14:textFill>
        </w:rPr>
        <w:t xml:space="preserve"> 中国民用航空三亚安全监督管理局</w:t>
      </w:r>
    </w:p>
    <w:p>
      <w:pPr>
        <w:keepNext w:val="0"/>
        <w:keepLines w:val="0"/>
        <w:pageBreakBefore w:val="0"/>
        <w:kinsoku/>
        <w:wordWrap/>
        <w:overflowPunct/>
        <w:topLinePunct w:val="0"/>
        <w:autoSpaceDE/>
        <w:autoSpaceDN/>
        <w:bidi w:val="0"/>
        <w:adjustRightInd/>
        <w:snapToGrid/>
        <w:spacing w:after="100" w:line="580"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在市医疗资源保障应急指挥部统一指挥下，承担应急医疗空中通道与机场口岸防控保障：</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协助市卫健委在凤凰机场对乘机人员开展检疫查验，防止传染病经航空运输传播。</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协调医疗队、急救专家、血液、急救药品器械及转运伤员航班优先调度、优先放行，组织辖区运输航空、通用航空、凤凰机场、空管单位开通航空绿色通道。</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督导辖区民航单位按重大运输保障任务标准，保障医疗包机、援琼医疗队包机、离岛就医航班、远端岛屿（西沙永兴岛等）伤员回撤航班安全落地。</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配合市交通运输局、凤凰机场做好民用航空器事故应急预案与本预案衔接。</w:t>
      </w:r>
    </w:p>
    <w:p>
      <w:pPr>
        <w:pStyle w:val="18"/>
        <w:keepNext w:val="0"/>
        <w:keepLines w:val="0"/>
        <w:pageBreakBefore w:val="0"/>
        <w:numPr>
          <w:ilvl w:val="0"/>
          <w:numId w:val="0"/>
        </w:numPr>
        <w:kinsoku/>
        <w:wordWrap/>
        <w:overflowPunct/>
        <w:topLinePunct w:val="0"/>
        <w:autoSpaceDE/>
        <w:autoSpaceDN/>
        <w:bidi w:val="0"/>
        <w:adjustRightInd/>
        <w:snapToGrid/>
        <w:spacing w:after="60" w:line="580" w:lineRule="exact"/>
        <w:ind w:left="360" w:leftChars="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3.10三亚海关、三亚机场海关</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在市医疗资源保障应急指挥部统一指挥下，承担口岸医疗资源应急保障相关职责：</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三亚口岸（含凤凰机场口岸、三亚港、南山港等）出入境人员、交通工具、运输设备、行李物品等的国境卫生检疫工作，实施体温监测、医学巡查、流行病学调查和医学检查，及时发现和报告口岸传染病疫情和突发公共卫生事件。</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（2）对口岸发现的传染病疑似病例、确诊病例，按规定采取隔离、送医等处置措施，第一时间通报市卫生健康委和市疾病预防控制中心，做好信息共享和联防联控。</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符合我国检验检疫要求的</w:t>
      </w:r>
      <w:r>
        <w:rPr>
          <w:rFonts w:hint="eastAsia" w:ascii="仿宋_GB2312" w:hAnsi="仿宋_GB2312" w:eastAsia="仿宋_GB2312" w:cs="仿宋_GB2312"/>
          <w:color w:val="000000" w:themeColor="text1"/>
          <w:sz w:val="32"/>
          <w:szCs w:val="32"/>
          <w14:textFill>
            <w14:solidFill>
              <w14:schemeClr w14:val="tx1"/>
            </w14:solidFill>
          </w14:textFill>
        </w:rPr>
        <w:t>开通应急医疗物资通关绿色通道，对境外捐赠、采购、调拨的急救药品、医疗器械、防护物资等实行即到即查即放，提供24小时</w:t>
      </w:r>
      <w:r>
        <w:rPr>
          <w:rFonts w:hint="eastAsia" w:ascii="仿宋_GB2312" w:hAnsi="仿宋_GB2312" w:eastAsia="仿宋_GB2312" w:cs="仿宋_GB2312"/>
          <w:color w:val="000000" w:themeColor="text1"/>
          <w:sz w:val="32"/>
          <w:szCs w:val="32"/>
          <w:lang w:eastAsia="zh-CN"/>
          <w14:textFill>
            <w14:solidFill>
              <w14:schemeClr w14:val="tx1"/>
            </w14:solidFill>
          </w14:textFill>
        </w:rPr>
        <w:t>预约制</w:t>
      </w:r>
      <w:r>
        <w:rPr>
          <w:rFonts w:hint="eastAsia" w:ascii="仿宋_GB2312" w:hAnsi="仿宋_GB2312" w:eastAsia="仿宋_GB2312" w:cs="仿宋_GB2312"/>
          <w:color w:val="000000" w:themeColor="text1"/>
          <w:sz w:val="32"/>
          <w:szCs w:val="32"/>
          <w14:textFill>
            <w14:solidFill>
              <w14:schemeClr w14:val="tx1"/>
            </w14:solidFill>
          </w14:textFill>
        </w:rPr>
        <w:t>通关保障。</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（4）对出入境急救医疗队、医疗专家、伤病员转运等提供检疫通关便利，简化手续、优先验放。</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（5）配合市卫健委做好口岸临时检疫留验场所的卫生学管理，协助开展口岸区域消毒、杀虫、灭鼠等卫生处理措施。</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（6）依法查处口岸区域涉及国境卫生检疫的违法行为。</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楷体_GB2312" w:hAnsi="楷体_GB2312" w:eastAsia="楷体_GB2312" w:cs="楷体_GB2312"/>
          <w:b/>
          <w:bCs/>
          <w:sz w:val="32"/>
          <w:szCs w:val="32"/>
          <w:lang w:val="en-US" w:eastAsia="zh-CN"/>
        </w:rPr>
      </w:pPr>
      <w:r>
        <w:rPr>
          <w:rFonts w:hint="eastAsia" w:ascii="仿宋_GB2312" w:hAnsi="仿宋_GB2312" w:eastAsia="仿宋_GB2312" w:cs="仿宋_GB2312"/>
          <w:sz w:val="32"/>
          <w:szCs w:val="32"/>
        </w:rPr>
        <w:t>（7）加强与海事、民航、边检、机场等单位的联动协作，确保口岸与地方医疗救治体系的无缝衔接。</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3.11</w:t>
      </w:r>
      <w:r>
        <w:rPr>
          <w:rFonts w:hint="eastAsia" w:ascii="楷体_GB2312" w:hAnsi="楷体_GB2312" w:eastAsia="楷体_GB2312" w:cs="楷体_GB2312"/>
          <w:b/>
          <w:bCs/>
          <w:color w:val="000000" w:themeColor="text1"/>
          <w:sz w:val="32"/>
          <w:szCs w:val="32"/>
          <w14:textFill>
            <w14:solidFill>
              <w14:schemeClr w14:val="tx1"/>
            </w14:solidFill>
          </w14:textFill>
        </w:rPr>
        <w:t>市市场监督管理局</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打击囤积居奇、哄抬物价等违法行为。</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保障药品和医疗器械质量安全。</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3.12</w:t>
      </w:r>
      <w:r>
        <w:rPr>
          <w:rFonts w:hint="eastAsia" w:ascii="楷体_GB2312" w:hAnsi="楷体_GB2312" w:eastAsia="楷体_GB2312" w:cs="楷体_GB2312"/>
          <w:b/>
          <w:bCs/>
          <w:sz w:val="32"/>
          <w:szCs w:val="32"/>
        </w:rPr>
        <w:t>市医疗保障局</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负责应急救治费用的医保支付政策衔接。</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做好医疗救助与医保政策的衔接。</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3.13市医疗保险服务中心</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协调异地就医结算。</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保障应急期间医保基金及时拨付。</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pPr>
      <w:r>
        <w:rPr>
          <w:rFonts w:hint="eastAsia" w:ascii="楷体_GB2312" w:hAnsi="楷体_GB2312" w:eastAsia="楷体_GB2312" w:cs="楷体_GB2312"/>
          <w:b/>
          <w:bCs/>
          <w:sz w:val="32"/>
          <w:szCs w:val="32"/>
          <w:lang w:val="en-US" w:eastAsia="zh-CN"/>
        </w:rPr>
        <w:t>3.14</w:t>
      </w:r>
      <w:r>
        <w:rPr>
          <w:rFonts w:hint="eastAsia" w:ascii="楷体_GB2312" w:hAnsi="楷体_GB2312" w:eastAsia="楷体_GB2312" w:cs="楷体_GB2312"/>
          <w:b/>
          <w:bCs/>
          <w:sz w:val="32"/>
          <w:szCs w:val="32"/>
        </w:rPr>
        <w:t>市红十字会</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负责组织社会募捐和捐赠物资接收管理。</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组织志愿者参与医疗秩序维护和援助。</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组织开展应急救护培训。</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参与伤员转运和人道主义救助。</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3.15市医疗紧急救援中心</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sz w:val="32"/>
          <w:szCs w:val="32"/>
          <w:lang w:val="en-US" w:eastAsia="zh-CN"/>
        </w:rPr>
        <w:t>在市医疗资源应急指挥部统一指挥下，市医疗紧急救援中心承担全市院前急救的统一指挥调度、</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组织现场救援、伤病员转运分流及信息枢纽等核心职责：</w:t>
      </w:r>
    </w:p>
    <w:p>
      <w:pPr>
        <w:keepNext w:val="0"/>
        <w:keepLines w:val="0"/>
        <w:pageBreakBefore w:val="0"/>
        <w:numPr>
          <w:ilvl w:val="0"/>
          <w:numId w:val="5"/>
        </w:numPr>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统一指挥调度</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①负责全市“120”急救电话的受理、调度和指挥，实行24小时不间断值班。</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②突发事件发生后，第一时间调派距离现场最近、能力匹配的急救车组赶赴现场。</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③根据事件规模和伤病员数量，启动分级调度机制，增派后续梯队力量。</w:t>
      </w:r>
    </w:p>
    <w:p>
      <w:pPr>
        <w:keepNext w:val="0"/>
        <w:keepLines w:val="0"/>
        <w:pageBreakBefore w:val="0"/>
        <w:numPr>
          <w:ilvl w:val="0"/>
          <w:numId w:val="5"/>
        </w:numPr>
        <w:kinsoku/>
        <w:wordWrap/>
        <w:overflowPunct/>
        <w:topLinePunct w:val="0"/>
        <w:autoSpaceDE/>
        <w:autoSpaceDN/>
        <w:bidi w:val="0"/>
        <w:adjustRightInd/>
        <w:snapToGrid/>
        <w:spacing w:before="60" w:after="60" w:line="580" w:lineRule="exact"/>
        <w:ind w:left="560" w:leftChars="0" w:hanging="280" w:firstLine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现场检伤分类与医疗救援组织</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①医护人员到达现场后，应迅速按“红、黄、绿、黑”四色检伤分类标准，对伤病员进行快速评估、标识和分类后，立即向市医疗紧急救援中心指挥大厅报告情况。</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②组织现场急救力量开展紧急救治，维持现场医疗秩序，确保危重伤员优先处置和转运。</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③向现场医疗卫生救援指挥部（或现场最高卫生行政负责人）报告现场情况，接受统一指挥。</w:t>
      </w:r>
    </w:p>
    <w:p>
      <w:pPr>
        <w:keepNext w:val="0"/>
        <w:keepLines w:val="0"/>
        <w:pageBreakBefore w:val="0"/>
        <w:numPr>
          <w:ilvl w:val="0"/>
          <w:numId w:val="5"/>
        </w:numPr>
        <w:kinsoku/>
        <w:wordWrap/>
        <w:overflowPunct/>
        <w:topLinePunct w:val="0"/>
        <w:autoSpaceDE/>
        <w:autoSpaceDN/>
        <w:bidi w:val="0"/>
        <w:adjustRightInd/>
        <w:snapToGrid/>
        <w:spacing w:before="60" w:after="60" w:line="580" w:lineRule="exact"/>
        <w:ind w:left="560" w:leftChars="0" w:hanging="280" w:firstLine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伤病员转运与分流</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①根据伤病员伤情、各医疗机构收治能力和专科特长，合理规划转运路线，科学分流伤病员。</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②遵循“就近、就急、就专科能力/优势”的原则，避免将大量伤病员集中送往同一家医院，防止医疗资源挤兑。</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③对蛇咬伤、烧烫伤、中毒等特殊伤病员，直接指派至具备相应救治能力的定点医院。</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④对病情复杂、伤情不稳定的重症/危重症伤员，按红色检伤标识优先转运，途中持续监护并开展必要急救，及时向120指挥中心及接收医院通报病情、预计到达时间和救治需求；同时启动市级专家远程多学科会诊。</w:t>
      </w:r>
    </w:p>
    <w:p>
      <w:pPr>
        <w:keepNext w:val="0"/>
        <w:keepLines w:val="0"/>
        <w:pageBreakBefore w:val="0"/>
        <w:numPr>
          <w:ilvl w:val="0"/>
          <w:numId w:val="5"/>
        </w:numPr>
        <w:kinsoku/>
        <w:wordWrap/>
        <w:overflowPunct/>
        <w:topLinePunct w:val="0"/>
        <w:autoSpaceDE/>
        <w:autoSpaceDN/>
        <w:bidi w:val="0"/>
        <w:adjustRightInd/>
        <w:snapToGrid/>
        <w:spacing w:before="60" w:after="60" w:line="580" w:lineRule="exact"/>
        <w:ind w:left="560" w:leftChars="0" w:hanging="280" w:firstLine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信息收集与上报</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①作为突发事件医疗救援的信息枢纽，负责收集、汇总、核实现场伤亡人数、伤情分类、转运去向等关键信息。</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②首次接报后，应在15分钟内向市卫生健康委值班室和指挥部办公室电话报告简要情况，30分钟内提交书面初报。</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③及时将疑似传染病病例的转运信息和去向通报接收医院及市卫生健康委员会，做好院前急救与院内救治的信息衔接。</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④续报和终报按照信息报送相关规定执行。</w:t>
      </w:r>
    </w:p>
    <w:p>
      <w:pPr>
        <w:keepNext w:val="0"/>
        <w:keepLines w:val="0"/>
        <w:pageBreakBefore w:val="0"/>
        <w:numPr>
          <w:ilvl w:val="0"/>
          <w:numId w:val="5"/>
        </w:numPr>
        <w:kinsoku/>
        <w:wordWrap/>
        <w:overflowPunct/>
        <w:topLinePunct w:val="0"/>
        <w:autoSpaceDE/>
        <w:autoSpaceDN/>
        <w:bidi w:val="0"/>
        <w:adjustRightInd/>
        <w:snapToGrid/>
        <w:spacing w:before="60" w:after="60" w:line="580" w:lineRule="exact"/>
        <w:ind w:left="560" w:leftChars="0" w:hanging="280" w:firstLine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应急资源协调与联动</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①掌握全市救护车（含负压救护车）、急救药品、车载设备的分布和状态，统一调度全市院前急救资源。</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②协调公安交警部门开辟救护车绿色通道，必要时请求实施临时交通管制。</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③与三亚海事局、民航三亚监管局、解放军总医院海南医院等单位建立联动机制，保障海陆空立体转运通道畅通。</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④当本市急救力量不足时</w:t>
      </w:r>
      <w:r>
        <w:rPr>
          <w:rFonts w:hint="eastAsia" w:ascii="仿宋_GB2312" w:hAnsi="仿宋_GB2312" w:eastAsia="仿宋_GB2312" w:cs="仿宋_GB2312"/>
          <w:b w:val="0"/>
          <w:bCs w:val="0"/>
          <w:sz w:val="32"/>
          <w:szCs w:val="32"/>
          <w:lang w:val="en-US" w:eastAsia="zh-CN"/>
        </w:rPr>
        <w:t>，及时向指挥部办公室申请，协调“大三亚”经济圈或省级急救资源支援。</w:t>
      </w:r>
    </w:p>
    <w:p>
      <w:pPr>
        <w:keepNext w:val="0"/>
        <w:keepLines w:val="0"/>
        <w:pageBreakBefore w:val="0"/>
        <w:numPr>
          <w:ilvl w:val="0"/>
          <w:numId w:val="5"/>
        </w:numPr>
        <w:kinsoku/>
        <w:wordWrap/>
        <w:overflowPunct/>
        <w:topLinePunct w:val="0"/>
        <w:autoSpaceDE/>
        <w:autoSpaceDN/>
        <w:bidi w:val="0"/>
        <w:adjustRightInd/>
        <w:snapToGrid/>
        <w:spacing w:before="60" w:after="60" w:line="580" w:lineRule="exact"/>
        <w:ind w:left="560" w:leftChars="0" w:hanging="280" w:firstLine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应急值守与备勤</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①启动应急响应后，立即进入全员或部分备勤状态，增加调度席位，确保通讯畅通。</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②负责对本中心调度员和一线急救人员的日常应急培训和演练，每年至少组织1次大规模伤亡事件（MCI）调度演练。</w:t>
      </w:r>
    </w:p>
    <w:p>
      <w:pPr>
        <w:pStyle w:val="3"/>
        <w:keepNext w:val="0"/>
        <w:keepLines w:val="0"/>
        <w:pageBreakBefore w:val="0"/>
        <w:kinsoku/>
        <w:wordWrap/>
        <w:overflowPunct/>
        <w:topLinePunct w:val="0"/>
        <w:autoSpaceDE/>
        <w:autoSpaceDN/>
        <w:bidi w:val="0"/>
        <w:adjustRightInd/>
        <w:snapToGrid/>
        <w:spacing w:before="280" w:after="160" w:line="580" w:lineRule="exac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bCs/>
          <w:color w:val="auto"/>
          <w:sz w:val="32"/>
          <w:szCs w:val="32"/>
        </w:rPr>
        <w:t>3.</w:t>
      </w:r>
      <w:r>
        <w:rPr>
          <w:rFonts w:hint="eastAsia" w:ascii="楷体_GB2312" w:hAnsi="楷体_GB2312" w:eastAsia="楷体_GB2312" w:cs="楷体_GB2312"/>
          <w:b/>
          <w:bCs/>
          <w:color w:val="auto"/>
          <w:sz w:val="32"/>
          <w:szCs w:val="32"/>
          <w:lang w:val="en-US" w:eastAsia="zh-CN"/>
        </w:rPr>
        <w:t>16</w:t>
      </w:r>
      <w:r>
        <w:rPr>
          <w:rFonts w:hint="eastAsia" w:ascii="楷体_GB2312" w:hAnsi="楷体_GB2312" w:eastAsia="楷体_GB2312" w:cs="楷体_GB2312"/>
          <w:b/>
          <w:bCs/>
          <w:color w:val="auto"/>
          <w:sz w:val="32"/>
          <w:szCs w:val="32"/>
        </w:rPr>
        <w:t>市疾病预防控制中心</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在市医疗资源保障应急指挥部统一指挥下，承担突发公共事件中的卫生学风险评估、现场流调与防疫技术支撑职责：</w:t>
      </w:r>
    </w:p>
    <w:p>
      <w:pPr>
        <w:keepNext w:val="0"/>
        <w:keepLines w:val="0"/>
        <w:pageBreakBefore w:val="0"/>
        <w:numPr>
          <w:ilvl w:val="0"/>
          <w:numId w:val="6"/>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rPr>
        <w:t>风险评估</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负责突发事件相关传染病疫情、群体性不明原因疾病、食物中毒等公共卫生风险的快速风险评估。</w:t>
      </w:r>
    </w:p>
    <w:p>
      <w:pPr>
        <w:keepNext w:val="0"/>
        <w:keepLines w:val="0"/>
        <w:pageBreakBefore w:val="0"/>
        <w:numPr>
          <w:ilvl w:val="0"/>
          <w:numId w:val="0"/>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lang w:val="en-US" w:eastAsia="zh-CN"/>
        </w:rPr>
        <w:t>2</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b w:val="0"/>
          <w:bCs w:val="0"/>
          <w:color w:val="222222"/>
          <w:sz w:val="32"/>
          <w:szCs w:val="32"/>
        </w:rPr>
        <w:t>现场流调</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开展现场流行病学调查、标本采集与送检协调。</w:t>
      </w:r>
    </w:p>
    <w:p>
      <w:pPr>
        <w:keepNext w:val="0"/>
        <w:keepLines w:val="0"/>
        <w:pageBreakBefore w:val="0"/>
        <w:numPr>
          <w:ilvl w:val="0"/>
          <w:numId w:val="0"/>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3</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传染病监测与技术方案</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负责灾后/事中传染病监测、病媒生物密度监测。</w:t>
      </w:r>
    </w:p>
    <w:p>
      <w:pPr>
        <w:keepNext w:val="0"/>
        <w:keepLines w:val="0"/>
        <w:pageBreakBefore w:val="0"/>
        <w:numPr>
          <w:ilvl w:val="0"/>
          <w:numId w:val="0"/>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提出疫苗接种、预防性服药、重点人群防护等技术方案。</w:t>
      </w:r>
    </w:p>
    <w:p>
      <w:pPr>
        <w:keepNext w:val="0"/>
        <w:keepLines w:val="0"/>
        <w:pageBreakBefore w:val="0"/>
        <w:numPr>
          <w:ilvl w:val="0"/>
          <w:numId w:val="0"/>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4</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医疗废物卫生学管理</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指导各医疗机构、临时安置点、方舱医院做好医疗废物暂存与流转的卫生学管理。</w:t>
      </w:r>
    </w:p>
    <w:p>
      <w:pPr>
        <w:keepNext w:val="0"/>
        <w:keepLines w:val="0"/>
        <w:pageBreakBefore w:val="0"/>
        <w:numPr>
          <w:ilvl w:val="0"/>
          <w:numId w:val="0"/>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color w:val="222222"/>
          <w:sz w:val="32"/>
          <w:szCs w:val="32"/>
        </w:rPr>
        <w:t>② 防止二次污染。</w:t>
      </w:r>
    </w:p>
    <w:p>
      <w:pPr>
        <w:keepNext w:val="0"/>
        <w:keepLines w:val="0"/>
        <w:pageBreakBefore w:val="0"/>
        <w:numPr>
          <w:ilvl w:val="0"/>
          <w:numId w:val="0"/>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bCs/>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5</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信息互通</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与市120、定点医院建立信息互通机制。</w:t>
      </w:r>
    </w:p>
    <w:p>
      <w:pPr>
        <w:pStyle w:val="3"/>
        <w:keepNext w:val="0"/>
        <w:keepLines w:val="0"/>
        <w:pageBreakBefore w:val="0"/>
        <w:kinsoku/>
        <w:wordWrap/>
        <w:overflowPunct/>
        <w:topLinePunct w:val="0"/>
        <w:autoSpaceDE/>
        <w:autoSpaceDN/>
        <w:bidi w:val="0"/>
        <w:adjustRightInd/>
        <w:snapToGrid/>
        <w:spacing w:before="280" w:after="160" w:line="580" w:lineRule="exact"/>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lang w:val="en-US" w:eastAsia="zh-CN"/>
        </w:rPr>
        <w:t>3.17</w:t>
      </w:r>
      <w:r>
        <w:rPr>
          <w:rFonts w:hint="eastAsia" w:ascii="楷体_GB2312" w:hAnsi="楷体_GB2312" w:eastAsia="楷体_GB2312" w:cs="楷体_GB2312"/>
          <w:b/>
          <w:bCs/>
          <w:color w:val="auto"/>
          <w:sz w:val="32"/>
          <w:szCs w:val="32"/>
        </w:rPr>
        <w:t>市消防救援支队（市消防救援局）</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在市医疗资源保障应急指挥部统一指挥下，承担现场人员搜救、危险排除与医疗救援通道保障职责：</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b/>
          <w:bCs/>
          <w:color w:val="222222"/>
          <w:sz w:val="32"/>
          <w:szCs w:val="32"/>
          <w:lang w:val="en-US" w:eastAsia="zh-CN"/>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1</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现场搜救与危险排除</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突发事件发生后，按指令赶赴现场实施人员搜救、破拆支护、毒害环境处置。</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为医疗救援力量开辟安全作业面。</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2</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先期急救前置处置</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在火灾、坍塌、化学品泄漏等场景中，协助市120对伤病员实施先期脱离危险区。</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开展初步止血固定等急救前置处置。</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3</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消防安保与备勤</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保障医疗卫生机构、应急物资储备库、临时医疗点、方舱医院的消防安全巡查。</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应急状态下对重点医护场所提供备勤保卫。</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4</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蛇</w:t>
      </w:r>
      <w:r>
        <w:rPr>
          <w:rFonts w:hint="eastAsia" w:ascii="仿宋_GB2312" w:hAnsi="仿宋_GB2312" w:eastAsia="仿宋_GB2312" w:cs="仿宋_GB2312"/>
          <w:b w:val="0"/>
          <w:bCs w:val="0"/>
          <w:color w:val="222222"/>
          <w:sz w:val="32"/>
          <w:szCs w:val="32"/>
          <w:lang w:eastAsia="zh-CN"/>
        </w:rPr>
        <w:t>咬</w:t>
      </w:r>
      <w:r>
        <w:rPr>
          <w:rFonts w:hint="eastAsia" w:ascii="仿宋_GB2312" w:hAnsi="仿宋_GB2312" w:eastAsia="仿宋_GB2312" w:cs="仿宋_GB2312"/>
          <w:b w:val="0"/>
          <w:bCs w:val="0"/>
          <w:color w:val="222222"/>
          <w:sz w:val="32"/>
          <w:szCs w:val="32"/>
        </w:rPr>
        <w:t>伤等生物致伤联动</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边远景区、山林、野外线路发生蛇咬伤等生物致伤时，按120联动请求协助移除毒蛇。</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开辟转运路径、运送先期处置装备。</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5</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救护引导与接驳转运</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配合公安交管为救护车队提供前方引导。</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在道路阻断时利用特种车辆协助伤病员接驳转运。</w:t>
      </w:r>
    </w:p>
    <w:p>
      <w:pPr>
        <w:pStyle w:val="3"/>
        <w:keepNext w:val="0"/>
        <w:keepLines w:val="0"/>
        <w:pageBreakBefore w:val="0"/>
        <w:kinsoku/>
        <w:wordWrap/>
        <w:overflowPunct/>
        <w:topLinePunct w:val="0"/>
        <w:autoSpaceDE/>
        <w:autoSpaceDN/>
        <w:bidi w:val="0"/>
        <w:adjustRightInd/>
        <w:snapToGrid/>
        <w:spacing w:before="280" w:after="160" w:line="580" w:lineRule="exac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bCs/>
          <w:color w:val="auto"/>
          <w:sz w:val="32"/>
          <w:szCs w:val="32"/>
          <w:lang w:val="en-US" w:eastAsia="zh-CN"/>
        </w:rPr>
        <w:t>3.18</w:t>
      </w:r>
      <w:r>
        <w:rPr>
          <w:rFonts w:hint="eastAsia" w:ascii="楷体_GB2312" w:hAnsi="楷体_GB2312" w:eastAsia="楷体_GB2312" w:cs="楷体_GB2312"/>
          <w:b/>
          <w:bCs/>
          <w:color w:val="auto"/>
          <w:sz w:val="32"/>
          <w:szCs w:val="32"/>
        </w:rPr>
        <w:t>市旅游和文化广电体育局</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在市医疗资源保障应急指挥部统一指挥下，承担涉旅场景医疗资源保障协同职责：</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1</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涉旅场所医疗告知与先期联动</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负责旅行社、A级景区、星级饭店、水上旅游项目、户外营地</w:t>
      </w:r>
      <w:r>
        <w:rPr>
          <w:rFonts w:hint="eastAsia" w:ascii="仿宋_GB2312" w:hAnsi="仿宋_GB2312" w:eastAsia="仿宋_GB2312" w:cs="仿宋_GB2312"/>
          <w:color w:val="222222"/>
          <w:sz w:val="32"/>
          <w:szCs w:val="32"/>
          <w:lang w:eastAsia="zh-CN"/>
        </w:rPr>
        <w:t>、农家乐、休闲农庄</w:t>
      </w:r>
      <w:r>
        <w:rPr>
          <w:rFonts w:hint="eastAsia" w:ascii="仿宋_GB2312" w:hAnsi="仿宋_GB2312" w:eastAsia="仿宋_GB2312" w:cs="仿宋_GB2312"/>
          <w:color w:val="222222"/>
          <w:sz w:val="32"/>
          <w:szCs w:val="32"/>
        </w:rPr>
        <w:t>等涉旅场所的应急医疗告知与先期联动。</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督促经营主体按标准配置蛇伤先期处置装备和毒蛇识别卡（衔接附件</w:t>
      </w:r>
      <w:r>
        <w:rPr>
          <w:rFonts w:hint="default" w:ascii="仿宋_GB2312" w:hAnsi="仿宋_GB2312" w:eastAsia="仿宋_GB2312" w:cs="仿宋_GB2312"/>
          <w:color w:val="222222"/>
          <w:sz w:val="32"/>
          <w:szCs w:val="32"/>
          <w:lang w:val="en"/>
        </w:rPr>
        <w:t>1</w:t>
      </w:r>
      <w:r>
        <w:rPr>
          <w:rFonts w:hint="eastAsia" w:ascii="仿宋_GB2312" w:hAnsi="仿宋_GB2312" w:eastAsia="仿宋_GB2312" w:cs="仿宋_GB2312"/>
          <w:color w:val="222222"/>
          <w:sz w:val="32"/>
          <w:szCs w:val="32"/>
        </w:rPr>
        <w:t>）。</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2</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游客蛇伤事件联动</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游客集中区域发生伤亡或蛇咬伤事件时，协助市120核实游客位置、团队信息、既往病史。</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引导自驾游客至最近血清匹配医院。</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3</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大型活动医疗保障</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大型文旅活动、体育赛事举办前，会同市卫健委、市120制定医疗点设置方案和急救车驻点方案。</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保障临时床位与补给。</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4</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预警信息推送</w:t>
      </w:r>
    </w:p>
    <w:p>
      <w:pPr>
        <w:keepNext w:val="0"/>
        <w:keepLines w:val="0"/>
        <w:pageBreakBefore w:val="0"/>
        <w:numPr>
          <w:ilvl w:val="0"/>
          <w:numId w:val="7"/>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通过景区电子屏、旅行社行前须知、“三亚旅文”公众号同步推送蛇伤高发季预警和就近救治点信息（衔接7.4社会动员）。</w:t>
      </w:r>
    </w:p>
    <w:p>
      <w:pPr>
        <w:keepNext w:val="0"/>
        <w:keepLines w:val="0"/>
        <w:pageBreakBefore w:val="0"/>
        <w:numPr>
          <w:ilvl w:val="0"/>
          <w:numId w:val="0"/>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5</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涉外游客事件协同</w:t>
      </w:r>
    </w:p>
    <w:p>
      <w:pPr>
        <w:keepNext w:val="0"/>
        <w:keepLines w:val="0"/>
        <w:pageBreakBefore w:val="0"/>
        <w:numPr>
          <w:ilvl w:val="0"/>
          <w:numId w:val="8"/>
        </w:numPr>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涉外游客伤亡事件时，配合市委外办、海关、市卫健委做好语言协助与通关检疫衔接。</w:t>
      </w:r>
    </w:p>
    <w:p>
      <w:pPr>
        <w:pStyle w:val="3"/>
        <w:keepNext w:val="0"/>
        <w:keepLines w:val="0"/>
        <w:pageBreakBefore w:val="0"/>
        <w:kinsoku/>
        <w:wordWrap/>
        <w:overflowPunct/>
        <w:topLinePunct w:val="0"/>
        <w:autoSpaceDE/>
        <w:autoSpaceDN/>
        <w:bidi w:val="0"/>
        <w:adjustRightInd/>
        <w:snapToGrid/>
        <w:spacing w:before="280" w:after="16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19</w:t>
      </w:r>
      <w:r>
        <w:rPr>
          <w:rFonts w:hint="eastAsia" w:ascii="楷体_GB2312" w:hAnsi="楷体_GB2312" w:eastAsia="楷体_GB2312" w:cs="楷体_GB2312"/>
          <w:b/>
          <w:bCs/>
          <w:color w:val="000000" w:themeColor="text1"/>
          <w:sz w:val="32"/>
          <w:szCs w:val="32"/>
          <w14:textFill>
            <w14:solidFill>
              <w14:schemeClr w14:val="tx1"/>
            </w14:solidFill>
          </w14:textFill>
        </w:rPr>
        <w:t>市农业农村局</w:t>
      </w:r>
    </w:p>
    <w:p>
      <w:pPr>
        <w:keepNext w:val="0"/>
        <w:keepLines w:val="0"/>
        <w:pageBreakBefore w:val="0"/>
        <w:kinsoku/>
        <w:wordWrap/>
        <w:overflowPunct/>
        <w:topLinePunct w:val="0"/>
        <w:autoSpaceDE/>
        <w:autoSpaceDN/>
        <w:bidi w:val="0"/>
        <w:adjustRightInd/>
        <w:snapToGrid/>
        <w:spacing w:before="120" w:after="12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在市医疗资源保障应急指挥部统一指挥下，承担涉农涉牧生物致伤与动物源疫情医疗应急协同职责：</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（1）害虫栖息风险监测</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 xml:space="preserve"> ① 负责农田、农村区域红火蚁栖息风险监测；</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 xml:space="preserve"> ② 汛期、高温季向指挥部办公室和文旅局推送管辖区域红火蚁高风险地图，支撑景区、村卫生室应急防护装备前置配置。</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2</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人畜共患病协同处置</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发生狂犬暴露、畜禽相关人畜共患病（如钩端螺旋体、炭疽疑似病例）时，协助市疾控中心开展动物溯源。</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指导受伤人员及时接种狂犬病疫苗/破伤风制剂（衔接附件</w:t>
      </w:r>
      <w:r>
        <w:rPr>
          <w:rFonts w:hint="default" w:ascii="仿宋_GB2312" w:hAnsi="仿宋_GB2312" w:eastAsia="仿宋_GB2312" w:cs="仿宋_GB2312"/>
          <w:color w:val="222222"/>
          <w:sz w:val="32"/>
          <w:szCs w:val="32"/>
          <w:lang w:val="en"/>
        </w:rPr>
        <w:t>3</w:t>
      </w:r>
      <w:r>
        <w:rPr>
          <w:rFonts w:hint="eastAsia" w:ascii="仿宋_GB2312" w:hAnsi="仿宋_GB2312" w:eastAsia="仿宋_GB2312" w:cs="仿宋_GB2312"/>
          <w:color w:val="222222"/>
          <w:sz w:val="32"/>
          <w:szCs w:val="32"/>
        </w:rPr>
        <w:t>疫苗储备）。</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3</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涉农突发伤病处置</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配合市卫健委、市疾控中心处置农药中毒、畜牧场氨气中毒等涉农突发伤病。</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提供毒物种类、施药范围等现场信息供急救医生判断。</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b w:val="0"/>
          <w:bCs w:val="0"/>
          <w:color w:val="222222"/>
          <w:sz w:val="32"/>
          <w:szCs w:val="32"/>
        </w:rPr>
      </w:pP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lang w:val="en-US" w:eastAsia="zh-CN"/>
        </w:rPr>
        <w:t>4</w:t>
      </w:r>
      <w:r>
        <w:rPr>
          <w:rFonts w:hint="eastAsia" w:ascii="仿宋_GB2312" w:hAnsi="仿宋_GB2312" w:eastAsia="仿宋_GB2312" w:cs="仿宋_GB2312"/>
          <w:b w:val="0"/>
          <w:bCs w:val="0"/>
          <w:color w:val="222222"/>
          <w:sz w:val="32"/>
          <w:szCs w:val="32"/>
          <w:lang w:eastAsia="zh-CN"/>
        </w:rPr>
        <w:t>）</w:t>
      </w:r>
      <w:r>
        <w:rPr>
          <w:rFonts w:hint="eastAsia" w:ascii="仿宋_GB2312" w:hAnsi="仿宋_GB2312" w:eastAsia="仿宋_GB2312" w:cs="仿宋_GB2312"/>
          <w:b w:val="0"/>
          <w:bCs w:val="0"/>
          <w:color w:val="222222"/>
          <w:sz w:val="32"/>
          <w:szCs w:val="32"/>
        </w:rPr>
        <w:t>灾后临时医疗点保障</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① 指导各区农业农村岗站在台风、洪涝后协助村居设置临时医疗点场地。</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② 保障下乡巡诊队通行。</w:t>
      </w:r>
    </w:p>
    <w:p>
      <w:pPr>
        <w:pStyle w:val="3"/>
        <w:keepNext w:val="0"/>
        <w:keepLines w:val="0"/>
        <w:pageBreakBefore w:val="0"/>
        <w:kinsoku/>
        <w:wordWrap/>
        <w:overflowPunct/>
        <w:topLinePunct w:val="0"/>
        <w:autoSpaceDE/>
        <w:autoSpaceDN/>
        <w:bidi w:val="0"/>
        <w:adjustRightInd/>
        <w:snapToGrid/>
        <w:spacing w:before="280" w:after="16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20</w:t>
      </w:r>
      <w:r>
        <w:rPr>
          <w:rFonts w:hint="eastAsia" w:ascii="楷体_GB2312" w:hAnsi="楷体_GB2312" w:eastAsia="楷体_GB2312" w:cs="楷体_GB2312"/>
          <w:b/>
          <w:bCs/>
          <w:color w:val="000000" w:themeColor="text1"/>
          <w:sz w:val="32"/>
          <w:szCs w:val="32"/>
          <w14:textFill>
            <w14:solidFill>
              <w14:schemeClr w14:val="tx1"/>
            </w14:solidFill>
          </w14:textFill>
        </w:rPr>
        <w:t>市</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林业</w:t>
      </w:r>
      <w:r>
        <w:rPr>
          <w:rFonts w:hint="eastAsia" w:ascii="楷体_GB2312" w:hAnsi="楷体_GB2312" w:eastAsia="楷体_GB2312" w:cs="楷体_GB2312"/>
          <w:b/>
          <w:bCs/>
          <w:color w:val="000000" w:themeColor="text1"/>
          <w:sz w:val="32"/>
          <w:szCs w:val="32"/>
          <w14:textFill>
            <w14:solidFill>
              <w14:schemeClr w14:val="tx1"/>
            </w14:solidFill>
          </w14:textFill>
        </w:rPr>
        <w:t>局</w:t>
      </w:r>
    </w:p>
    <w:p>
      <w:pPr>
        <w:spacing w:after="60" w:line="400" w:lineRule="auto"/>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在市医疗资源保障应急指挥部统一指挥下，承担林场、森林、自然保护地等区域的陆生野生动物致伤风险监测与协同处置职责：</w:t>
      </w:r>
    </w:p>
    <w:p>
      <w:pPr>
        <w:pStyle w:val="18"/>
        <w:numPr>
          <w:ilvl w:val="0"/>
          <w:numId w:val="0"/>
        </w:numPr>
        <w:spacing w:after="60" w:line="400" w:lineRule="auto"/>
        <w:jc w:val="both"/>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
        </w:rPr>
        <w:t>(1)</w:t>
      </w:r>
      <w:r>
        <w:rPr>
          <w:rFonts w:hint="eastAsia" w:ascii="仿宋_GB2312" w:hAnsi="仿宋_GB2312" w:eastAsia="仿宋_GB2312" w:cs="仿宋_GB2312"/>
          <w:sz w:val="32"/>
          <w:szCs w:val="32"/>
        </w:rPr>
        <w:t>负责林场、森林公园、自然保护区、湿地等管辖区域内蛇类、蜈蚣、蜂类等陆生野生动物栖息风险监测、调查与评估，建立风险台账，向指挥部办公室推送高风险区域分布信息，支撑林区及涉林区域应急防护装备前置配置。</w:t>
      </w:r>
    </w:p>
    <w:p>
      <w:pPr>
        <w:pStyle w:val="18"/>
        <w:numPr>
          <w:ilvl w:val="0"/>
          <w:numId w:val="0"/>
        </w:numPr>
        <w:spacing w:after="60" w:line="400" w:lineRule="auto"/>
        <w:jc w:val="both"/>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
        </w:rPr>
        <w:t>(2)</w:t>
      </w:r>
      <w:r>
        <w:rPr>
          <w:rFonts w:hint="eastAsia" w:ascii="仿宋_GB2312" w:hAnsi="仿宋_GB2312" w:eastAsia="仿宋_GB2312" w:cs="仿宋_GB2312"/>
          <w:sz w:val="32"/>
          <w:szCs w:val="32"/>
        </w:rPr>
        <w:t>负责职责范围内陆生野生动物疫源疫病监测，发现异常情况及时向指挥部办公室和市卫生健康委通报。</w:t>
      </w:r>
    </w:p>
    <w:p>
      <w:pPr>
        <w:pStyle w:val="18"/>
        <w:numPr>
          <w:ilvl w:val="0"/>
          <w:numId w:val="0"/>
        </w:numPr>
        <w:spacing w:after="60" w:line="400" w:lineRule="auto"/>
        <w:jc w:val="both"/>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
        </w:rPr>
        <w:t>(3)</w:t>
      </w:r>
      <w:r>
        <w:rPr>
          <w:rFonts w:hint="eastAsia" w:ascii="仿宋_GB2312" w:hAnsi="仿宋_GB2312" w:eastAsia="仿宋_GB2312" w:cs="仿宋_GB2312"/>
          <w:sz w:val="32"/>
          <w:szCs w:val="32"/>
        </w:rPr>
        <w:t>配合市医疗紧急救援中心、市消防救援支队做好林区、自然保护地等区域生物致伤事件的现场指引、路线疏导、协助搜救引导及先期处置协同。</w:t>
      </w:r>
    </w:p>
    <w:p>
      <w:pPr>
        <w:pStyle w:val="18"/>
        <w:numPr>
          <w:ilvl w:val="0"/>
          <w:numId w:val="0"/>
        </w:numPr>
        <w:spacing w:after="60" w:line="400" w:lineRule="auto"/>
        <w:jc w:val="both"/>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
        </w:rPr>
        <w:t>(4)</w:t>
      </w:r>
      <w:r>
        <w:rPr>
          <w:rFonts w:hint="eastAsia" w:ascii="仿宋_GB2312" w:hAnsi="仿宋_GB2312" w:eastAsia="仿宋_GB2312" w:cs="仿宋_GB2312"/>
          <w:sz w:val="32"/>
          <w:szCs w:val="32"/>
        </w:rPr>
        <w:t>在陆生野生动物频繁活动区设置安全警示标志，开展防蛇等野生动物防护知识科普宣传，配合做好公众防范教育。</w:t>
      </w:r>
    </w:p>
    <w:p>
      <w:pPr>
        <w:pStyle w:val="18"/>
        <w:numPr>
          <w:ilvl w:val="0"/>
          <w:numId w:val="0"/>
        </w:numPr>
        <w:spacing w:after="60" w:line="400" w:lineRule="auto"/>
        <w:jc w:val="both"/>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
        </w:rPr>
        <w:t>(5)</w:t>
      </w:r>
      <w:r>
        <w:rPr>
          <w:rFonts w:hint="eastAsia" w:ascii="仿宋_GB2312" w:hAnsi="仿宋_GB2312" w:eastAsia="仿宋_GB2312" w:cs="仿宋_GB2312"/>
          <w:sz w:val="32"/>
          <w:szCs w:val="32"/>
        </w:rPr>
        <w:t>发生陆生野生动物致害事件时，按《海南省陆生野生动物致害补偿管理办法》牵头开展致害情况调查核实，提出补偿意见。</w:t>
      </w:r>
    </w:p>
    <w:p>
      <w:pPr>
        <w:pStyle w:val="18"/>
        <w:numPr>
          <w:ilvl w:val="0"/>
          <w:numId w:val="0"/>
        </w:numPr>
        <w:spacing w:after="120" w:line="400" w:lineRule="auto"/>
        <w:jc w:val="both"/>
        <w:rPr>
          <w:rFonts w:hint="eastAsia" w:ascii="仿宋_GB2312" w:hAnsi="仿宋_GB2312" w:eastAsia="仿宋_GB2312" w:cs="仿宋_GB2312"/>
          <w:color w:val="222222"/>
          <w:sz w:val="32"/>
          <w:szCs w:val="32"/>
        </w:rPr>
      </w:pPr>
      <w:r>
        <w:rPr>
          <w:rFonts w:hint="default" w:ascii="仿宋_GB2312" w:hAnsi="仿宋_GB2312" w:eastAsia="仿宋_GB2312" w:cs="仿宋_GB2312"/>
          <w:sz w:val="32"/>
          <w:szCs w:val="32"/>
          <w:lang w:val="en"/>
        </w:rPr>
        <w:t>(6)</w:t>
      </w:r>
      <w:r>
        <w:rPr>
          <w:rFonts w:hint="eastAsia" w:ascii="仿宋_GB2312" w:hAnsi="仿宋_GB2312" w:eastAsia="仿宋_GB2312" w:cs="仿宋_GB2312"/>
          <w:sz w:val="32"/>
          <w:szCs w:val="32"/>
        </w:rPr>
        <w:t>负责森林、湿地生态系统和自然保护地等区域外来物种的监督管理，配合开展相关普查、监测、预警和应急处置工作。</w:t>
      </w:r>
    </w:p>
    <w:p>
      <w:pPr>
        <w:keepNext w:val="0"/>
        <w:keepLines w:val="0"/>
        <w:pageBreakBefore w:val="0"/>
        <w:kinsoku/>
        <w:wordWrap/>
        <w:overflowPunct/>
        <w:topLinePunct w:val="0"/>
        <w:autoSpaceDE/>
        <w:autoSpaceDN/>
        <w:bidi w:val="0"/>
        <w:adjustRightInd/>
        <w:snapToGrid/>
        <w:spacing w:before="20" w:after="2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3.21</w:t>
      </w:r>
      <w:r>
        <w:rPr>
          <w:rFonts w:hint="eastAsia" w:ascii="楷体_GB2312" w:hAnsi="楷体_GB2312" w:eastAsia="楷体_GB2312" w:cs="楷体_GB2312"/>
          <w:b/>
          <w:bCs/>
          <w:sz w:val="32"/>
          <w:szCs w:val="32"/>
        </w:rPr>
        <w:t>三亚警备区保障处</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协调驻市部队医疗机构参与地方医疗救援。</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提供必要的军事医疗资源和运输力量支援。</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协助做好军地医疗资源对接。</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3.22</w:t>
      </w:r>
      <w:r>
        <w:rPr>
          <w:rFonts w:hint="eastAsia" w:ascii="楷体_GB2312" w:hAnsi="楷体_GB2312" w:eastAsia="楷体_GB2312" w:cs="楷体_GB2312"/>
          <w:b/>
          <w:bCs/>
          <w:sz w:val="32"/>
          <w:szCs w:val="32"/>
        </w:rPr>
        <w:t>各区政府、育才生态区管委会</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负责本辖区内医疗资源保障工作的组织实施。</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配合市级指挥部做好资源征用和群众疏散。</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负责辖区内临时医疗点的设置和管理。</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组织基层力量参与医疗救援辅助工作。</w:t>
      </w:r>
    </w:p>
    <w:p>
      <w:pPr>
        <w:spacing w:before="240" w:after="120" w:line="360" w:lineRule="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3.2</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3</w:t>
      </w:r>
      <w:r>
        <w:rPr>
          <w:rFonts w:hint="eastAsia" w:ascii="楷体_GB2312" w:hAnsi="楷体_GB2312" w:eastAsia="楷体_GB2312" w:cs="楷体_GB2312"/>
          <w:b/>
          <w:bCs/>
          <w:color w:val="000000" w:themeColor="text1"/>
          <w:sz w:val="32"/>
          <w:szCs w:val="32"/>
          <w14:textFill>
            <w14:solidFill>
              <w14:schemeClr w14:val="tx1"/>
            </w14:solidFill>
          </w14:textFill>
        </w:rPr>
        <w:t xml:space="preserve"> 各区卫生健康委员会</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各区卫生健康委员会在区突发公共卫生事件应急指挥部的统一领导下，负责组织、协调本行政区域内的应急医疗救治、疾病预防控制和卫生监督工作，并分别承担以下职责：</w:t>
      </w:r>
    </w:p>
    <w:p>
      <w:pPr>
        <w:spacing w:before="200" w:after="8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b w:val="0"/>
          <w:bCs w:val="0"/>
          <w:color w:val="000000" w:themeColor="text1"/>
          <w:sz w:val="32"/>
          <w:szCs w:val="32"/>
          <w14:textFill>
            <w14:solidFill>
              <w14:schemeClr w14:val="tx1"/>
            </w14:solidFill>
          </w14:textFill>
        </w:rPr>
        <w:t>吉阳区卫生健康委员会</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（1）负责本辖区内大东海、亚龙湾等滨海景区及114家旅游酒店周边区域的应急医疗先期处置，协调景区医务室与120急救系统的对接联动。</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（2）统筹辖区内田独卫生院、福海苑卫生院、海罗社区卫生健康服务中心、河东社区卫生健康服务中心、荔枝沟卫生院等8家基层医疗机构及大东海、红沙等社区卫生服务站的应急资源调配。</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（3）针对辖区年接待游客近1000万人次、旅游饭店平均入住率超75%的高密度特点，在旅游旺季（10月至次年3月）前置部署急救力量，确保重点景区30分钟内到达现场。</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（4）协同区旅文、公安、市场监管等部门，督促辖区内星级酒店、民宿落实应急急救箱配置及员工急救培训。</w:t>
      </w:r>
    </w:p>
    <w:p>
      <w:pPr>
        <w:spacing w:before="200" w:after="8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b w:val="0"/>
          <w:bCs w:val="0"/>
          <w:color w:val="000000" w:themeColor="text1"/>
          <w:sz w:val="32"/>
          <w:szCs w:val="32"/>
          <w14:textFill>
            <w14:solidFill>
              <w14:schemeClr w14:val="tx1"/>
            </w14:solidFill>
          </w14:textFill>
        </w:rPr>
        <w:t xml:space="preserve"> 天涯区卫生健康委员会</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（1）负责本辖区内天涯海角、三亚湾等核心景区及凤凰国际机场周边区域的应急医疗先期处置，建立机场突发公共卫生事件快速响应通道。</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（2）统筹辖区内河西社区卫生服务中心、三亚湾社区卫生服务中心、凤凰卫生院、马岭卫生院、高峰卫生院及高峰医院等6家区属医疗机构和18家村卫生室的应急资源调配。</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（3）针对辖区年接待游客1477万人次、拥有156家旅游宾馆的超大客流量特点，在三亚湾沿线及天涯海角景区设立季节性临时医疗点（旺季11月至次年2月），配备蛇伤急救包、AED等设备。</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（4）配合机场管理部门做好入境旅客突发传染病筛查及转运工作，协同海关落实境外输入性疫情的属地管控措施。</w:t>
      </w:r>
    </w:p>
    <w:p>
      <w:pPr>
        <w:spacing w:before="200" w:after="8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（三）</w:t>
      </w:r>
      <w:r>
        <w:rPr>
          <w:rFonts w:hint="eastAsia" w:ascii="仿宋_GB2312" w:hAnsi="仿宋_GB2312" w:eastAsia="仿宋_GB2312" w:cs="仿宋_GB2312"/>
          <w:b w:val="0"/>
          <w:bCs w:val="0"/>
          <w:color w:val="000000" w:themeColor="text1"/>
          <w:sz w:val="32"/>
          <w:szCs w:val="32"/>
          <w14:textFill>
            <w14:solidFill>
              <w14:schemeClr w14:val="tx1"/>
            </w14:solidFill>
          </w14:textFill>
        </w:rPr>
        <w:t xml:space="preserve"> 崖州区卫生健康委员会</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（1）负责本辖区内南山文化旅游区（5A）、大小洞天旅游区（5A）两大核心景区及崖州古城周边的应急医疗先期处置，在景区入口设立固定医疗救护站。</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（2）统筹辖区内崖城卫生院、保港卫生院、梅山卫生院、南滨医院等4家基层医疗机构的应急资源调配，确保偏远村落急救覆盖。</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（3）针对辖区森林覆盖率63.35%、年接待游客近800万人次的特点，重点加强蛇咬伤、中暑、山林火灾等热带丛林及高温环境下突发事件的应急救治能力建设。</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（4）协同区园林环卫、应急管理等部门，做好南山、大小洞天等景区在春节、国庆等重大节假日大客流时段的医疗保障。</w:t>
      </w:r>
    </w:p>
    <w:p>
      <w:pPr>
        <w:spacing w:before="200" w:after="8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（四）</w:t>
      </w:r>
      <w:r>
        <w:rPr>
          <w:rFonts w:hint="eastAsia" w:ascii="仿宋_GB2312" w:hAnsi="仿宋_GB2312" w:eastAsia="仿宋_GB2312" w:cs="仿宋_GB2312"/>
          <w:b w:val="0"/>
          <w:bCs w:val="0"/>
          <w:color w:val="000000" w:themeColor="text1"/>
          <w:sz w:val="32"/>
          <w:szCs w:val="32"/>
          <w14:textFill>
            <w14:solidFill>
              <w14:schemeClr w14:val="tx1"/>
            </w14:solidFill>
          </w14:textFill>
        </w:rPr>
        <w:t>海棠区卫生健康委员会</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（1）负责本辖区内海棠湾国家海岸度假区、蜈支洲岛等高端旅游区域的应急医疗先期处置，建立海岛及水上运动伤害快速救援通道。</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（2）统筹辖区内林旺医院、南田医院、龙海社区卫生服务站、江林村社区卫生服务站等基层医疗机构的应急资源调配。</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（3）针对辖区高端度假酒店密集、水上运动项目多、外籍游客比例高的特点，协同蜈支洲岛景区建立海上救援与陆地急救联动机制，配备潜水病、溺水等专项急救设备。</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（4）配合区外事、旅游部门，做好辖区内涉外酒店及免税店突发公共卫生事件的应急处置及多语言医疗沟通支持。</w:t>
      </w:r>
    </w:p>
    <w:p>
      <w:pPr>
        <w:spacing w:before="200" w:after="8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（五）</w:t>
      </w:r>
      <w:r>
        <w:rPr>
          <w:rFonts w:hint="eastAsia" w:ascii="仿宋_GB2312" w:hAnsi="仿宋_GB2312" w:eastAsia="仿宋_GB2312" w:cs="仿宋_GB2312"/>
          <w:b w:val="0"/>
          <w:bCs w:val="0"/>
          <w:color w:val="000000" w:themeColor="text1"/>
          <w:sz w:val="32"/>
          <w:szCs w:val="32"/>
          <w14:textFill>
            <w14:solidFill>
              <w14:schemeClr w14:val="tx1"/>
            </w14:solidFill>
          </w14:textFill>
        </w:rPr>
        <w:t>育才生态区教科卫健局</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（1）负责本辖区内山区、林区及生态保护区的应急医疗先期处置，重点防范毒蛇咬伤、蜂蜇、山体滑坡等自然灾害引发的伤亡事件。</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（2）统筹育才医院及各村（社区）卫生室的应急资源调配，建立移动医疗巡诊机制，确保偏远村落基本急救覆盖。</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（3）针对辖区地处山区、交通不便、通讯信号弱的特点，配备卫星电话及便携式急救设备，建立"1小时急救圈"响应机制。</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（4）协同区应急管理、林业等部门，做好森林防火期及台风暴雨季节的应急医疗值守和群众转移安置医疗保障。</w:t>
      </w:r>
    </w:p>
    <w:p>
      <w:pPr>
        <w:spacing w:before="200" w:after="8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b w:val="0"/>
          <w:bCs w:val="0"/>
          <w:color w:val="000000" w:themeColor="text1"/>
          <w:sz w:val="32"/>
          <w:szCs w:val="32"/>
          <w14:textFill>
            <w14:solidFill>
              <w14:schemeClr w14:val="tx1"/>
            </w14:solidFill>
          </w14:textFill>
        </w:rPr>
        <w:t>各区共性职责</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（1）按规定向市医疗紧急救援指挥中心每日报告辖区医疗救治进展及重要突发情况，紧急事项随时报告。</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（2）协助公安、教育、住建等部门落实辖区内的交通管制、人员疏散、学校停课、工地停工等管控措施。</w:t>
      </w:r>
    </w:p>
    <w:p>
      <w:pPr>
        <w:spacing w:before="60" w:after="60" w:line="360" w:lineRule="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（3）配合宣传、网信部门做好辖区内的舆情监测和正面宣传引导，及时回应社会关切。</w:t>
      </w:r>
    </w:p>
    <w:p>
      <w:pPr>
        <w:spacing w:before="60" w:after="60" w:line="360" w:lineRule="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（4）组织辖区基层医疗机构开展应急演练，每年至少组织1次综合性应急演练。</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3.24</w:t>
      </w:r>
      <w:r>
        <w:rPr>
          <w:rFonts w:hint="eastAsia" w:ascii="楷体_GB2312" w:hAnsi="楷体_GB2312" w:eastAsia="楷体_GB2312" w:cs="楷体_GB2312"/>
          <w:b/>
          <w:bCs/>
          <w:sz w:val="32"/>
          <w:szCs w:val="32"/>
        </w:rPr>
        <w:t>全市二级及以上医疗机构</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执行指挥部下达的资源调度指令。</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做好本院应急床位、人员、物资的准备和腾挪。</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承担伤病员的接收、救治和信息上报。</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）落实预检分诊、医院感染防控、消毒隔离等措施，规范接诊、转运和处置流程，防止院内交叉感染。</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组建院内应急医疗队伍，参与全市统一调配。</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做好本院应急物资储备和日常管理。</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）三亚市中医院作为全市蛇咬伤救治中心、承担毒蛇咬伤等生物致伤事件的集中救治、技术指导和人员培训职责；南部战区海军第二医院作为蛇咬伤应急后备医院，承担储量支持和重症转诊兜底保障。</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b/>
          <w:bCs/>
          <w:sz w:val="32"/>
          <w:szCs w:val="32"/>
          <w:lang w:val="en-US" w:eastAsia="zh-CN"/>
        </w:rPr>
        <w:t>4、</w:t>
      </w:r>
      <w:r>
        <w:rPr>
          <w:rFonts w:hint="eastAsia" w:ascii="黑体" w:hAnsi="黑体" w:eastAsia="黑体" w:cs="黑体"/>
          <w:b/>
          <w:bCs/>
          <w:sz w:val="32"/>
          <w:szCs w:val="32"/>
        </w:rPr>
        <w:t>事件分级与响应</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4.1</w:t>
      </w:r>
      <w:r>
        <w:rPr>
          <w:rFonts w:hint="eastAsia" w:ascii="楷体_GB2312" w:hAnsi="楷体_GB2312" w:eastAsia="楷体_GB2312" w:cs="楷体_GB2312"/>
          <w:b/>
          <w:bCs/>
          <w:sz w:val="32"/>
          <w:szCs w:val="32"/>
        </w:rPr>
        <w:t>事件分级</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根据突发公共事件造成的伤亡人数、波及范围和医疗资源需求强度，将应急响应由高到低分为四个等级：</w:t>
      </w: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0"/>
        <w:gridCol w:w="6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000000" w:sz="0" w:space="0"/>
              <w:left w:val="single" w:color="000000" w:sz="0" w:space="0"/>
              <w:bottom w:val="single" w:color="000000" w:sz="0" w:space="0"/>
              <w:right w:val="single" w:color="000000" w:sz="0" w:space="0"/>
            </w:tcBorders>
            <w:shd w:val="clear" w:color="auto" w:fill="D5E8F0"/>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center"/>
              <w:textAlignment w:val="auto"/>
            </w:pPr>
            <w:r>
              <w:rPr>
                <w:rFonts w:ascii="WenQuanYi Micro Hei" w:hAnsi="WenQuanYi Micro Hei" w:eastAsia="WenQuanYi Micro Hei" w:cs="WenQuanYi Micro Hei"/>
                <w:b/>
                <w:bCs/>
                <w:sz w:val="22"/>
                <w:szCs w:val="22"/>
              </w:rPr>
              <w:t>响应级别</w:t>
            </w:r>
          </w:p>
        </w:tc>
        <w:tc>
          <w:tcPr>
            <w:tcW w:w="6626" w:type="dxa"/>
            <w:tcBorders>
              <w:top w:val="single" w:color="000000" w:sz="0" w:space="0"/>
              <w:left w:val="single" w:color="000000" w:sz="0" w:space="0"/>
              <w:bottom w:val="single" w:color="000000" w:sz="0" w:space="0"/>
              <w:right w:val="single" w:color="000000" w:sz="0" w:space="0"/>
            </w:tcBorders>
            <w:shd w:val="clear" w:color="auto" w:fill="D5E8F0"/>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center"/>
              <w:textAlignment w:val="auto"/>
            </w:pPr>
            <w:r>
              <w:rPr>
                <w:rFonts w:ascii="WenQuanYi Micro Hei" w:hAnsi="WenQuanYi Micro Hei" w:eastAsia="WenQuanYi Micro Hei" w:cs="WenQuanYi Micro Hei"/>
                <w:b/>
                <w:bCs/>
                <w:sz w:val="22"/>
                <w:szCs w:val="22"/>
              </w:rPr>
              <w:t>界定标准（符合其一即可）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Ⅰ级（特别重大）</w:t>
            </w:r>
          </w:p>
        </w:tc>
        <w:tc>
          <w:tcPr>
            <w:tcW w:w="6626"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死亡30人以上，或重伤100人以上；需动用全市80%以上应急资源，需请求省级或国家级支援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Ⅱ级（重大）</w:t>
            </w:r>
          </w:p>
        </w:tc>
        <w:tc>
          <w:tcPr>
            <w:tcW w:w="6626"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死亡10人至29人，或重伤50人至99人；需跨区大规模调度资源，启动省级联动机制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Ⅲ级（较大）</w:t>
            </w:r>
          </w:p>
        </w:tc>
        <w:tc>
          <w:tcPr>
            <w:tcW w:w="6626"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死亡3人至9人，或重伤10人至49人；需在主城区范围内或跨区中等规模调度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Ⅳ级（一般）</w:t>
            </w:r>
          </w:p>
        </w:tc>
        <w:tc>
          <w:tcPr>
            <w:tcW w:w="6626"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死亡2人以下，或重伤9人以下；事发地所在区可独立保障</w:t>
            </w:r>
          </w:p>
        </w:tc>
      </w:tr>
    </w:tbl>
    <w:p>
      <w:pPr>
        <w:keepNext w:val="0"/>
        <w:keepLines w:val="0"/>
        <w:pageBreakBefore w:val="0"/>
        <w:kinsoku/>
        <w:wordWrap/>
        <w:overflowPunct/>
        <w:topLinePunct w:val="0"/>
        <w:autoSpaceDE/>
        <w:autoSpaceDN/>
        <w:bidi w:val="0"/>
        <w:adjustRightInd/>
        <w:snapToGrid/>
        <w:spacing w:line="580" w:lineRule="exact"/>
        <w:textAlignment w:val="auto"/>
      </w:pP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4.2</w:t>
      </w:r>
      <w:r>
        <w:rPr>
          <w:rFonts w:hint="eastAsia" w:ascii="楷体_GB2312" w:hAnsi="楷体_GB2312" w:eastAsia="楷体_GB2312" w:cs="楷体_GB2312"/>
          <w:b/>
          <w:bCs/>
          <w:sz w:val="32"/>
          <w:szCs w:val="32"/>
        </w:rPr>
        <w:t>响应程序</w:t>
      </w:r>
    </w:p>
    <w:p>
      <w:pPr>
        <w:keepNext w:val="0"/>
        <w:keepLines w:val="0"/>
        <w:pageBreakBefore w:val="0"/>
        <w:numPr>
          <w:ilvl w:val="0"/>
          <w:numId w:val="9"/>
        </w:numPr>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先期处置：事发地医疗机构立即启动本单位应急预案，开展先期救治，同时向区卫健部门和市120指挥中心报告。</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（2）检伤分类：到达现场的医疗救援力量按照“红、黄、绿、黑”四色对伤病员进行分类标识，红色（危重伤）优先救治和转运，黄（重伤）、绿（轻伤）、黑（死亡）依次处置。</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信息上报：</w:t>
      </w:r>
      <w:r>
        <w:rPr>
          <w:rFonts w:hint="eastAsia" w:ascii="仿宋_GB2312" w:hAnsi="仿宋_GB2312" w:eastAsia="仿宋_GB2312" w:cs="仿宋_GB2312"/>
          <w:color w:val="000000" w:themeColor="text1"/>
          <w:sz w:val="32"/>
          <w:szCs w:val="32"/>
          <w:lang w:eastAsia="zh-CN"/>
          <w14:textFill>
            <w14:solidFill>
              <w14:schemeClr w14:val="tx1"/>
            </w14:solidFill>
          </w14:textFill>
        </w:rPr>
        <w:t>各</w:t>
      </w:r>
      <w:r>
        <w:rPr>
          <w:rFonts w:hint="eastAsia" w:ascii="仿宋_GB2312" w:hAnsi="仿宋_GB2312" w:eastAsia="仿宋_GB2312" w:cs="仿宋_GB2312"/>
          <w:color w:val="000000" w:themeColor="text1"/>
          <w:sz w:val="32"/>
          <w:szCs w:val="32"/>
          <w14:textFill>
            <w14:solidFill>
              <w14:schemeClr w14:val="tx1"/>
            </w14:solidFill>
          </w14:textFill>
        </w:rPr>
        <w:t>区卫健部门接</w:t>
      </w:r>
      <w:r>
        <w:rPr>
          <w:rFonts w:hint="eastAsia" w:ascii="仿宋_GB2312" w:hAnsi="仿宋_GB2312" w:eastAsia="仿宋_GB2312" w:cs="仿宋_GB2312"/>
          <w:color w:val="000000" w:themeColor="text1"/>
          <w:sz w:val="32"/>
          <w:szCs w:val="32"/>
          <w:lang w:eastAsia="zh-CN"/>
          <w14:textFill>
            <w14:solidFill>
              <w14:schemeClr w14:val="tx1"/>
            </w14:solidFill>
          </w14:textFill>
        </w:rPr>
        <w:t>到突发事件相关信息报告后，应当在</w:t>
      </w:r>
      <w:r>
        <w:rPr>
          <w:rFonts w:hint="eastAsia" w:ascii="仿宋_GB2312" w:hAnsi="仿宋_GB2312" w:eastAsia="仿宋_GB2312" w:cs="仿宋_GB2312"/>
          <w:color w:val="000000" w:themeColor="text1"/>
          <w:sz w:val="32"/>
          <w:szCs w:val="32"/>
          <w14:textFill>
            <w14:solidFill>
              <w14:schemeClr w14:val="tx1"/>
            </w14:solidFill>
          </w14:textFill>
        </w:rPr>
        <w:t>30分钟内上报市卫生健康委</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市卫生健康委接报</w:t>
      </w:r>
      <w:r>
        <w:rPr>
          <w:rFonts w:hint="eastAsia" w:ascii="仿宋_GB2312" w:hAnsi="仿宋_GB2312" w:eastAsia="仿宋_GB2312" w:cs="仿宋_GB2312"/>
          <w:color w:val="000000" w:themeColor="text1"/>
          <w:sz w:val="32"/>
          <w:szCs w:val="32"/>
          <w:lang w:eastAsia="zh-CN"/>
          <w14:textFill>
            <w14:solidFill>
              <w14:schemeClr w14:val="tx1"/>
            </w14:solidFill>
          </w14:textFill>
        </w:rPr>
        <w:t>后，第一时间向市政府、省级卫生健康主管部门报告，同时同步报送市委市政府总值班室、市应急管理局值班室，畅通信息共享渠道，做好协同应急处置工作。</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研判决策：指挥部办公室根据事件性质和预估等级，提出启动响应建议，报请指挥长或授权副指挥长批准。</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发布命令：批准后，指挥部发布启动命令，通知各成员单位和医疗机构进入应急状态。</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资源调度：指挥部下达资源调度指令，各有关单位必须无条件执行。对拒不执行的，依法依规追究责任。</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响应终止：事件得到有效控制，伤病员得到妥善救治，医疗资源恢复正常状态后，由指挥部宣布终止响应。</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（8）现场指挥部：在突发事件现场设立现场医疗卫生救援指挥部，由现场最高卫生行政部门负责人担任指挥，负责现场医疗救援的统一组织和协调。</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b/>
          <w:bCs/>
          <w:sz w:val="32"/>
          <w:szCs w:val="32"/>
          <w:lang w:val="en-US" w:eastAsia="zh-CN"/>
        </w:rPr>
        <w:t>5、</w:t>
      </w:r>
      <w:r>
        <w:rPr>
          <w:rFonts w:hint="eastAsia" w:ascii="黑体" w:hAnsi="黑体" w:eastAsia="黑体" w:cs="黑体"/>
          <w:b/>
          <w:bCs/>
          <w:sz w:val="32"/>
          <w:szCs w:val="32"/>
        </w:rPr>
        <w:t>资源保障内容</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5.1</w:t>
      </w:r>
      <w:r>
        <w:rPr>
          <w:rFonts w:hint="eastAsia" w:ascii="楷体_GB2312" w:hAnsi="楷体_GB2312" w:eastAsia="楷体_GB2312" w:cs="楷体_GB2312"/>
          <w:b/>
          <w:bCs/>
          <w:sz w:val="32"/>
          <w:szCs w:val="32"/>
        </w:rPr>
        <w:t>床位资源保障</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全市二级及以上综合医院、专科医院应常态保持不低于现有编制床位总数5%的应急床位（含综合ICU、急诊观察床、可转化普通病房）。传染病定点医院应保持不低于20%的应急床位。</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应急状态下，可通过征用宾馆、体育馆、会展中心等场所改造为临时医疗点或方舱医院，扩充收治能力。</w:t>
      </w:r>
    </w:p>
    <w:p>
      <w:pPr>
        <w:keepNext w:val="0"/>
        <w:keepLines w:val="0"/>
        <w:pageBreakBefore w:val="0"/>
        <w:kinsoku/>
        <w:wordWrap/>
        <w:overflowPunct/>
        <w:topLinePunct w:val="0"/>
        <w:autoSpaceDE/>
        <w:autoSpaceDN/>
        <w:bidi w:val="0"/>
        <w:adjustRightInd/>
        <w:snapToGrid/>
        <w:spacing w:before="80" w:after="80" w:line="58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（3）接到指挥部应急床位腾挪指令后，各医疗机构应在2小时内完成床位腾挪和接收准备。</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床位调度按照</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就近、就急、就专科能力/优势</w:t>
      </w:r>
      <w:r>
        <w:rPr>
          <w:rFonts w:hint="eastAsia" w:ascii="仿宋_GB2312" w:hAnsi="仿宋_GB2312" w:eastAsia="仿宋_GB2312" w:cs="仿宋_GB2312"/>
          <w:sz w:val="32"/>
          <w:szCs w:val="32"/>
        </w:rPr>
        <w:t>的原则，由资源调配组统一分配。</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5.2</w:t>
      </w:r>
      <w:r>
        <w:rPr>
          <w:rFonts w:hint="eastAsia" w:ascii="楷体_GB2312" w:hAnsi="楷体_GB2312" w:eastAsia="楷体_GB2312" w:cs="楷体_GB2312"/>
          <w:b/>
          <w:bCs/>
          <w:sz w:val="32"/>
          <w:szCs w:val="32"/>
        </w:rPr>
        <w:t>人力资源保障</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（1）组建不少于</w:t>
      </w:r>
      <w:r>
        <w:rPr>
          <w:rFonts w:hint="default" w:ascii="仿宋_GB2312" w:hAnsi="仿宋_GB2312" w:eastAsia="仿宋_GB2312" w:cs="仿宋_GB2312"/>
          <w:sz w:val="32"/>
          <w:szCs w:val="32"/>
          <w:lang w:val="en"/>
        </w:rPr>
        <w:t>70</w:t>
      </w:r>
      <w:r>
        <w:rPr>
          <w:rFonts w:hint="eastAsia" w:ascii="仿宋_GB2312" w:hAnsi="仿宋_GB2312" w:eastAsia="仿宋_GB2312" w:cs="仿宋_GB2312"/>
          <w:sz w:val="32"/>
          <w:szCs w:val="32"/>
        </w:rPr>
        <w:t>人的市级医疗卫生应急机动队，涵盖急诊、重症、外科、内科、护理、院感、检验、心理干预等专业，实行名单化管理（具体名单见附件</w:t>
      </w:r>
      <w:r>
        <w:rPr>
          <w:rFonts w:hint="default" w:ascii="仿宋_GB2312" w:hAnsi="仿宋_GB2312" w:eastAsia="仿宋_GB2312" w:cs="仿宋_GB2312"/>
          <w:sz w:val="32"/>
          <w:szCs w:val="32"/>
          <w:lang w:val="en"/>
        </w:rPr>
        <w:t>2</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）各专业紧急医疗救援队（重症综合、创伤烧伤、化学中毒与核辐射、心理危机干预、防疫应急）依托相应医疗机构组建，人员名单及联系方式见附件</w:t>
      </w:r>
      <w:r>
        <w:rPr>
          <w:rFonts w:hint="default" w:ascii="仿宋_GB2312" w:hAnsi="仿宋_GB2312" w:eastAsia="仿宋_GB2312" w:cs="仿宋_GB2312"/>
          <w:sz w:val="32"/>
          <w:szCs w:val="32"/>
          <w:lang w:val="en"/>
        </w:rPr>
        <w:t>2</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）必要时可征调全市退休医务人员、民营医疗机构医务人员及医学院校师生。</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）应急队员每年至少参加1次专业培训和1次实战演练。</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5.3</w:t>
      </w:r>
      <w:r>
        <w:rPr>
          <w:rFonts w:hint="eastAsia" w:ascii="楷体_GB2312" w:hAnsi="楷体_GB2312" w:eastAsia="楷体_GB2312" w:cs="楷体_GB2312"/>
          <w:b/>
          <w:bCs/>
          <w:sz w:val="32"/>
          <w:szCs w:val="32"/>
        </w:rPr>
        <w:t>药品与物资保障</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1）建立市级实物储备加医疗机构院内储备相结合的两级储备体系（具体品种及数量见附件</w:t>
      </w:r>
      <w:r>
        <w:rPr>
          <w:rFonts w:hint="default" w:ascii="仿宋_GB2312" w:hAnsi="仿宋_GB2312" w:eastAsia="仿宋_GB2312" w:cs="仿宋_GB2312"/>
          <w:sz w:val="32"/>
          <w:szCs w:val="32"/>
          <w:lang w:val="en"/>
        </w:rPr>
        <w:t>3</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（2）重点储备抗微生物药物、解毒药品（含抗蛇毒血清）、止血药品、麻醉药品、急救设备（呼吸机、ECMO、除颤仪）、个人防护用品（防护服、N95口罩、护目镜）及核酸检测试剂等关键物资。</w:t>
      </w:r>
    </w:p>
    <w:p>
      <w:pPr>
        <w:keepNext w:val="0"/>
        <w:keepLines w:val="0"/>
        <w:pageBreakBefore w:val="0"/>
        <w:kinsoku/>
        <w:wordWrap/>
        <w:overflowPunct/>
        <w:topLinePunct w:val="0"/>
        <w:autoSpaceDE/>
        <w:autoSpaceDN/>
        <w:bidi w:val="0"/>
        <w:adjustRightInd/>
        <w:snapToGrid/>
        <w:spacing w:before="80" w:after="80" w:line="58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（3）市级储备应满足重大突发事件连续运转15天的满负荷消耗量。对近效期物资（距有效期6个月以内）实行定期轮换更新。</w:t>
      </w:r>
    </w:p>
    <w:p>
      <w:pPr>
        <w:keepNext w:val="0"/>
        <w:keepLines w:val="0"/>
        <w:pageBreakBefore w:val="0"/>
        <w:kinsoku/>
        <w:wordWrap/>
        <w:overflowPunct/>
        <w:topLinePunct w:val="0"/>
        <w:autoSpaceDE/>
        <w:autoSpaceDN/>
        <w:bidi w:val="0"/>
        <w:adjustRightInd/>
        <w:snapToGrid/>
        <w:spacing w:before="80" w:after="80" w:line="58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（4）抗蛇毒血清作为毒蛇咬伤救治的唯一切实有效药物，纳入市级重点储备目录，实行专项管理（具体要求见5.6条及附件</w:t>
      </w:r>
      <w:r>
        <w:rPr>
          <w:rFonts w:hint="default" w:ascii="仿宋_GB2312" w:hAnsi="仿宋_GB2312" w:eastAsia="仿宋_GB2312" w:cs="仿宋_GB2312"/>
          <w:sz w:val="32"/>
          <w:szCs w:val="32"/>
          <w:lang w:val="en"/>
        </w:rPr>
        <w:t>1</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before="80" w:after="80" w:line="580" w:lineRule="exact"/>
        <w:ind w:firstLine="320" w:firstLineChars="1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（5）应急物资调用程序：突发事件发生后，按照“先调用事发地医疗机构储备—再调用市级储备—不足时请求省级支援”的顺序进行物资调配。各医疗机构接到调用指令后，应在1小时内完成物资出库和装运。</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5.4</w:t>
      </w:r>
      <w:r>
        <w:rPr>
          <w:rFonts w:hint="eastAsia" w:ascii="楷体_GB2312" w:hAnsi="楷体_GB2312" w:eastAsia="楷体_GB2312" w:cs="楷体_GB2312"/>
          <w:b/>
          <w:bCs/>
          <w:sz w:val="32"/>
          <w:szCs w:val="32"/>
        </w:rPr>
        <w:t>血液保障</w:t>
      </w:r>
    </w:p>
    <w:p>
      <w:pPr>
        <w:keepNext w:val="0"/>
        <w:keepLines w:val="0"/>
        <w:pageBreakBefore w:val="0"/>
        <w:numPr>
          <w:ilvl w:val="0"/>
          <w:numId w:val="10"/>
        </w:numPr>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市中心血站建立血液库存预警机制，库存低于7天常规用量时启动黄色预警，低于5天时启动红色预警。</w:t>
      </w:r>
    </w:p>
    <w:p>
      <w:pPr>
        <w:spacing w:before="120" w:after="120" w:line="360" w:lineRule="auto"/>
        <w:ind w:firstLine="160" w:firstLineChars="50"/>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）在发生重大突发事件（启动II级及以上响应）期间，血液预警阈值自动升级为"动态阈值"：当特定血型（如O型Rh阴性）库存低于24小时预计消耗量，或库存量不足10个单位时，直接触发红色预警。</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default" w:ascii="仿宋_GB2312" w:hAnsi="仿宋_GB2312" w:eastAsia="仿宋_GB2312" w:cs="仿宋_GB2312"/>
          <w:color w:val="000000" w:themeColor="text1"/>
          <w:sz w:val="32"/>
          <w:szCs w:val="32"/>
          <w:lang w:val="en"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红色预警启动后，立即启用应急采血点，通过媒体和短信紧急动员市民无偿献血。</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default" w:ascii="仿宋_GB2312" w:hAnsi="仿宋_GB2312" w:eastAsia="仿宋_GB2312" w:cs="仿宋_GB2312"/>
          <w:color w:val="000000" w:themeColor="text1"/>
          <w:sz w:val="32"/>
          <w:szCs w:val="32"/>
          <w:lang w:val="en"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建立稀有血型（如Rh阴性）献血者档案库，确保紧急情况下能够及时联系到献血者。</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default" w:ascii="仿宋_GB2312" w:hAnsi="仿宋_GB2312" w:eastAsia="仿宋_GB2312" w:cs="仿宋_GB2312"/>
          <w:color w:val="000000" w:themeColor="text1"/>
          <w:sz w:val="32"/>
          <w:szCs w:val="32"/>
          <w:lang w:val="e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）血液保障具体操作细则见附件5。</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5.5</w:t>
      </w:r>
      <w:r>
        <w:rPr>
          <w:rFonts w:hint="eastAsia" w:ascii="楷体_GB2312" w:hAnsi="楷体_GB2312" w:eastAsia="楷体_GB2312" w:cs="楷体_GB2312"/>
          <w:b/>
          <w:bCs/>
          <w:color w:val="000000" w:themeColor="text1"/>
          <w:sz w:val="32"/>
          <w:szCs w:val="32"/>
          <w14:textFill>
            <w14:solidFill>
              <w14:schemeClr w14:val="tx1"/>
            </w14:solidFill>
          </w14:textFill>
        </w:rPr>
        <w:t>转运与交通保障</w:t>
      </w:r>
    </w:p>
    <w:p>
      <w:pPr>
        <w:keepNext w:val="0"/>
        <w:keepLines w:val="0"/>
        <w:pageBreakBefore w:val="0"/>
        <w:numPr>
          <w:ilvl w:val="0"/>
          <w:numId w:val="11"/>
        </w:numPr>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市120医疗紧急救援指挥中心统一调度全市救护车。</w:t>
      </w:r>
      <w:r>
        <w:rPr>
          <w:rFonts w:hint="eastAsia" w:ascii="仿宋_GB2312" w:hAnsi="仿宋_GB2312" w:eastAsia="仿宋_GB2312" w:cs="仿宋_GB2312"/>
          <w:color w:val="000000" w:themeColor="text1"/>
          <w:sz w:val="32"/>
          <w:szCs w:val="32"/>
          <w:lang w:eastAsia="zh-CN"/>
          <w14:textFill>
            <w14:solidFill>
              <w14:schemeClr w14:val="tx1"/>
            </w14:solidFill>
          </w14:textFill>
        </w:rPr>
        <w:t>必要时由市交通运输局征用公交车、出租车用于轻症患者或相关人员转运。</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280" w:left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公安交警部门为救护车辆开设绿色通道，必要时实施临时交通管制，保障优先通行。</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依托三亚凤凰机场和解放军总医院海南医院直升机停机坪建立空中转运通道，依托三亚港、南山港建立海上转运通道，形成海陆空立体转运网络。</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）蛇咬伤等生物致伤患者转运实行优先调度原则，市</w:t>
      </w:r>
      <w:r>
        <w:rPr>
          <w:rFonts w:hint="eastAsia" w:ascii="仿宋_GB2312" w:hAnsi="仿宋_GB2312" w:eastAsia="仿宋_GB2312" w:cs="仿宋_GB2312"/>
          <w:sz w:val="32"/>
          <w:szCs w:val="32"/>
          <w:lang w:val="en-US" w:eastAsia="zh-CN"/>
        </w:rPr>
        <w:t>120指挥中心可根据蛇种识别和血清匹配情况，直接指派最近且血清储备充足的定点医院。</w:t>
      </w:r>
    </w:p>
    <w:p>
      <w:pPr>
        <w:keepNext w:val="0"/>
        <w:keepLines w:val="0"/>
        <w:pageBreakBefore w:val="0"/>
        <w:kinsoku/>
        <w:wordWrap/>
        <w:overflowPunct/>
        <w:topLinePunct w:val="0"/>
        <w:autoSpaceDE/>
        <w:autoSpaceDN/>
        <w:bidi w:val="0"/>
        <w:adjustRightInd/>
        <w:snapToGrid/>
        <w:spacing w:before="60" w:after="60" w:line="580" w:lineRule="exact"/>
        <w:ind w:left="560" w:hanging="280"/>
        <w:jc w:val="both"/>
        <w:textAlignment w:val="auto"/>
        <w:rPr>
          <w:rFonts w:hint="default" w:ascii="仿宋_GB2312" w:hAnsi="仿宋_GB2312" w:eastAsia="仿宋_GB2312" w:cs="仿宋_GB2312"/>
          <w:b/>
          <w:bCs/>
          <w:sz w:val="32"/>
          <w:szCs w:val="32"/>
          <w:lang w:val="en-US" w:eastAsia="zh-CN"/>
        </w:rPr>
      </w:pPr>
      <w:r>
        <w:rPr>
          <w:rFonts w:hint="eastAsia" w:ascii="楷体_GB2312" w:hAnsi="楷体_GB2312" w:eastAsia="楷体_GB2312" w:cs="楷体_GB2312"/>
          <w:b/>
          <w:bCs/>
          <w:sz w:val="32"/>
          <w:szCs w:val="32"/>
          <w:lang w:val="en-US" w:eastAsia="zh-CN"/>
        </w:rPr>
        <w:t>5.6生物致伤应急专项保障（蛇咬伤）</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（1）三亚市地处热带，生物致伤事件（以毒蛇咬伤为主）全年均可发生，且呈季节性高发，中毒深度与时间呈正比相关，是否能够尽早、及时、足量使用抗蛇毒血清对预后有重要影响。</w:t>
      </w:r>
    </w:p>
    <w:p>
      <w:pPr>
        <w:keepNext w:val="0"/>
        <w:keepLines w:val="0"/>
        <w:pageBreakBefore w:val="0"/>
        <w:kinsoku/>
        <w:wordWrap/>
        <w:overflowPunct/>
        <w:topLinePunct w:val="0"/>
        <w:autoSpaceDE/>
        <w:autoSpaceDN/>
        <w:bidi w:val="0"/>
        <w:adjustRightInd/>
        <w:snapToGrid/>
        <w:spacing w:before="120" w:after="60" w:line="580" w:lineRule="exact"/>
        <w:ind w:firstLine="56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val="0"/>
          <w:bCs w:val="0"/>
          <w:sz w:val="32"/>
          <w:szCs w:val="32"/>
          <w:lang w:val="en-US" w:eastAsia="zh-CN"/>
        </w:rPr>
        <w:t>（2）抗蛇毒血清储备与冷链管理</w:t>
      </w:r>
      <w:r>
        <w:rPr>
          <w:rFonts w:hint="eastAsia" w:ascii="楷体_GB2312" w:hAnsi="楷体_GB2312" w:eastAsia="楷体_GB2312" w:cs="楷体_GB2312"/>
          <w:b/>
          <w:bCs/>
          <w:sz w:val="32"/>
          <w:szCs w:val="32"/>
          <w:lang w:val="en-US" w:eastAsia="zh-CN"/>
        </w:rPr>
        <w:t>。</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 抗蛇毒血清属冷链储备血液制品（2℃—8℃），纳入市级应急物资储备目录，实行实物储备与医院院内储备相结合的两级储备体系。全市指定7家医院作为抗蛇毒血清储备点，储备品种覆盖抗蝮蛇毒、抗五步蛇毒、抗眼镜蛇毒、抗银环蛇毒4种血清。</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 三亚市中医院（市蛇咬伤救治中心）须保持4种血清全覆盖、24小时接诊能力；南部战区海军第二医院（425医院）作为储量全市最高的后备单位，承担储量兜底保障；各储备点具体储备数量详见附件2。</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 抗蛇毒血清为稀缺资源，国内仅由上海赛伦生物独家生产，各储备点须严格遵循“早期、联合、足量”使用原则，做好近效期轮换和临床消耗动态补充。血清为冷链储备、数量随临床消耗变动，调用前须电话复核。</w:t>
      </w:r>
    </w:p>
    <w:p>
      <w:pPr>
        <w:spacing w:before="120" w:after="120" w:line="360" w:lineRule="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④ 建立跨市紧急调拨机制。当本市血清耗尽时，由市卫健委直接向省卫健委申请，通过航空绿色通道从海口或广州调拨，确保4小时内抵达三亚。</w:t>
      </w:r>
    </w:p>
    <w:p>
      <w:pPr>
        <w:keepNext w:val="0"/>
        <w:keepLines w:val="0"/>
        <w:pageBreakBefore w:val="0"/>
        <w:kinsoku/>
        <w:wordWrap/>
        <w:overflowPunct/>
        <w:topLinePunct w:val="0"/>
        <w:autoSpaceDE/>
        <w:autoSpaceDN/>
        <w:bidi w:val="0"/>
        <w:adjustRightInd/>
        <w:snapToGrid/>
        <w:spacing w:before="120" w:after="60" w:line="580" w:lineRule="exact"/>
        <w:ind w:firstLine="56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（3）蛇咬伤救治中心与后备医院。</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①三亚市中医院为全市蛇伤救治中心，承担毒蛇咬伤集中救治、技术指导、人员培训和会诊转诊职责。</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②南部战区海军第二医院（425医院）作为蛇伤应急后备医院，承担储量兜底和重症患者转诊保障。</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③上海交通大学医学院附属上海儿童医学中心海南医院作为儿童蛇伤重点救治医院。</w:t>
      </w:r>
    </w:p>
    <w:p>
      <w:pPr>
        <w:keepNext w:val="0"/>
        <w:keepLines w:val="0"/>
        <w:pageBreakBefore w:val="0"/>
        <w:kinsoku/>
        <w:wordWrap/>
        <w:overflowPunct/>
        <w:topLinePunct w:val="0"/>
        <w:autoSpaceDE/>
        <w:autoSpaceDN/>
        <w:bidi w:val="0"/>
        <w:adjustRightInd/>
        <w:snapToGrid/>
        <w:spacing w:before="120" w:after="60" w:line="580" w:lineRule="exact"/>
        <w:ind w:firstLine="56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（4）院前急救装备配置。</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①全市120救护车按标准配备弹性绷带（加压固定）、负压抽吸罐（蛇伤专用）、生理盐水冲洗包、碘伏、便携式氧气袋等蛇咬伤先期处置装备。</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②边远景区、林场、户外线路等蛇咬伤高风险区域，按标准配置蛇伤先期处置装备和海南常见毒蛇识别图谱卡，纳入景区安全须知公示。</w:t>
      </w:r>
    </w:p>
    <w:p>
      <w:pPr>
        <w:keepNext w:val="0"/>
        <w:keepLines w:val="0"/>
        <w:pageBreakBefore w:val="0"/>
        <w:kinsoku/>
        <w:wordWrap/>
        <w:overflowPunct/>
        <w:topLinePunct w:val="0"/>
        <w:autoSpaceDE/>
        <w:autoSpaceDN/>
        <w:bidi w:val="0"/>
        <w:adjustRightInd/>
        <w:snapToGrid/>
        <w:spacing w:before="120" w:after="60" w:line="580" w:lineRule="exact"/>
        <w:ind w:firstLine="56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（5）公众指引与信息渠道。</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①发生蛇咬伤时，先拨打120，由急救中心统一调度最近且血清匹配的医院。</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②推广“赛伦100蛇伤防治”小程序（中华医学会急诊分会推荐），系统自动定位后按距离显示储备血清的医院名称、地址及电话，并可一键导航。出发前务必电话确认血清库存。</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③赛伦生物24小时咨询电话：4000-169-995。</w:t>
      </w:r>
    </w:p>
    <w:p>
      <w:pPr>
        <w:keepNext w:val="0"/>
        <w:keepLines w:val="0"/>
        <w:pageBreakBefore w:val="0"/>
        <w:kinsoku/>
        <w:wordWrap/>
        <w:overflowPunct/>
        <w:topLinePunct w:val="0"/>
        <w:autoSpaceDE/>
        <w:autoSpaceDN/>
        <w:bidi w:val="0"/>
        <w:adjustRightInd/>
        <w:snapToGrid/>
        <w:spacing w:before="120" w:after="60" w:line="580" w:lineRule="exact"/>
        <w:ind w:firstLine="56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val="0"/>
          <w:bCs w:val="0"/>
          <w:sz w:val="32"/>
          <w:szCs w:val="32"/>
          <w:lang w:val="en-US" w:eastAsia="zh-CN"/>
        </w:rPr>
        <w:t>（6）处置原则。</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①被同种毒素类型蛇咬伤选用同种血清；无特异性血清时可联合使用同类或相似毒性血清。</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②到院后同步进行抗感染、注射破伤风抗毒素、抗过敏及消肿等对症处理。</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③重症患者及时转至三亚市中医院蛇伤救治中心或南部战区海军第二医院等储量充足单位。</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b/>
          <w:bCs/>
          <w:sz w:val="32"/>
          <w:szCs w:val="32"/>
          <w:lang w:val="en-US" w:eastAsia="zh-CN"/>
        </w:rPr>
        <w:t>6、</w:t>
      </w:r>
      <w:r>
        <w:rPr>
          <w:rFonts w:hint="eastAsia" w:ascii="黑体" w:hAnsi="黑体" w:eastAsia="黑体" w:cs="黑体"/>
          <w:b/>
          <w:bCs/>
          <w:sz w:val="32"/>
          <w:szCs w:val="32"/>
        </w:rPr>
        <w:t>监测与预警</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sz w:val="32"/>
          <w:szCs w:val="32"/>
        </w:rPr>
      </w:pPr>
      <w:r>
        <w:rPr>
          <w:rFonts w:hint="eastAsia" w:ascii="楷体_GB2312" w:hAnsi="楷体_GB2312" w:eastAsia="楷体_GB2312" w:cs="楷体_GB2312"/>
          <w:b/>
          <w:bCs/>
          <w:sz w:val="32"/>
          <w:szCs w:val="32"/>
          <w:lang w:val="en-US" w:eastAsia="zh-CN"/>
        </w:rPr>
        <w:t>6.1</w:t>
      </w:r>
      <w:r>
        <w:rPr>
          <w:rFonts w:hint="eastAsia" w:ascii="楷体_GB2312" w:hAnsi="楷体_GB2312" w:eastAsia="楷体_GB2312" w:cs="楷体_GB2312"/>
          <w:b/>
          <w:bCs/>
          <w:sz w:val="32"/>
          <w:szCs w:val="32"/>
        </w:rPr>
        <w:t>资源普查</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市卫生健康委每年组织对全市各级各类医疗机构的床位、人员、设备、药品库存等核心资源进行一次全面普查，建立动态电子档案，做到底数清、情况明。应急队伍人员名单（附件</w:t>
      </w:r>
      <w:r>
        <w:rPr>
          <w:rFonts w:hint="default" w:ascii="仿宋_GB2312" w:hAnsi="仿宋_GB2312" w:eastAsia="仿宋_GB2312" w:cs="仿宋_GB2312"/>
          <w:sz w:val="32"/>
          <w:szCs w:val="32"/>
          <w:lang w:val="en"/>
        </w:rPr>
        <w:t>2</w:t>
      </w:r>
      <w:r>
        <w:rPr>
          <w:rFonts w:hint="eastAsia" w:ascii="仿宋_GB2312" w:hAnsi="仿宋_GB2312" w:eastAsia="仿宋_GB2312" w:cs="仿宋_GB2312"/>
          <w:sz w:val="32"/>
          <w:szCs w:val="32"/>
        </w:rPr>
        <w:t>）、应急药品与器械储备清单（附件</w:t>
      </w:r>
      <w:r>
        <w:rPr>
          <w:rFonts w:hint="default" w:ascii="仿宋_GB2312" w:hAnsi="仿宋_GB2312" w:eastAsia="仿宋_GB2312" w:cs="仿宋_GB2312"/>
          <w:sz w:val="32"/>
          <w:szCs w:val="32"/>
          <w:lang w:val="en"/>
        </w:rPr>
        <w:t>3</w:t>
      </w:r>
      <w:r>
        <w:rPr>
          <w:rFonts w:hint="eastAsia" w:ascii="仿宋_GB2312" w:hAnsi="仿宋_GB2312" w:eastAsia="仿宋_GB2312" w:cs="仿宋_GB2312"/>
          <w:sz w:val="32"/>
          <w:szCs w:val="32"/>
        </w:rPr>
        <w:t>）纳入年度普查更新范围。生物致伤专项资源（抗蛇毒血清储备品种、数量、效期、冷链状态）纳入年度普查范围，数据来源见附件</w:t>
      </w:r>
      <w:r>
        <w:rPr>
          <w:rFonts w:hint="default" w:ascii="仿宋_GB2312" w:hAnsi="仿宋_GB2312" w:eastAsia="仿宋_GB2312" w:cs="仿宋_GB2312"/>
          <w:sz w:val="32"/>
          <w:szCs w:val="32"/>
          <w:lang w:val="en"/>
        </w:rPr>
        <w:t>1</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pP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6.2</w:t>
      </w:r>
      <w:r>
        <w:rPr>
          <w:rFonts w:hint="eastAsia" w:ascii="楷体_GB2312" w:hAnsi="楷体_GB2312" w:eastAsia="楷体_GB2312" w:cs="楷体_GB2312"/>
          <w:b/>
          <w:bCs/>
          <w:sz w:val="32"/>
          <w:szCs w:val="32"/>
        </w:rPr>
        <w:t>运行监测</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医疗资源运行监测机制，实时掌握全市二级及以上医疗机构的床位使用率、急诊等待时间、急救车出车频次、发热门诊就诊量、血液库存等关键指标。同时将抗蛇毒血清库存量、蛇伤接诊量纳入实时监测，发现异常波动时及时核实研判。</w:t>
      </w:r>
    </w:p>
    <w:p>
      <w:pPr>
        <w:keepNext w:val="0"/>
        <w:keepLines w:val="0"/>
        <w:pageBreakBefore w:val="0"/>
        <w:kinsoku/>
        <w:wordWrap/>
        <w:overflowPunct/>
        <w:topLinePunct w:val="0"/>
        <w:autoSpaceDE/>
        <w:autoSpaceDN/>
        <w:bidi w:val="0"/>
        <w:adjustRightInd/>
        <w:snapToGrid/>
        <w:spacing w:before="240" w:after="16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color w:val="000000" w:themeColor="text1"/>
          <w:sz w:val="32"/>
          <w:szCs w:val="32"/>
          <w14:textFill>
            <w14:solidFill>
              <w14:schemeClr w14:val="tx1"/>
            </w14:solidFill>
          </w14:textFill>
        </w:rPr>
        <w:t>6.3 预警发布</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根据监测信息和事件发展趋势，指挥部办公室可发布医疗资源预警信息。预警实行三级管理：</w:t>
      </w:r>
    </w:p>
    <w:tbl>
      <w:tblPr>
        <w:tblStyle w:val="13"/>
        <w:tblW w:w="0" w:type="auto"/>
        <w:jc w:val="center"/>
        <w:tblLayout w:type="autofit"/>
        <w:tblCellMar>
          <w:top w:w="0" w:type="dxa"/>
          <w:left w:w="108" w:type="dxa"/>
          <w:bottom w:w="0" w:type="dxa"/>
          <w:right w:w="108" w:type="dxa"/>
        </w:tblCellMar>
      </w:tblPr>
      <w:tblGrid>
        <w:gridCol w:w="1966"/>
        <w:gridCol w:w="3358"/>
        <w:gridCol w:w="3918"/>
      </w:tblGrid>
      <w:tr>
        <w:tblPrEx>
          <w:tblCellMar>
            <w:top w:w="0" w:type="dxa"/>
            <w:left w:w="108" w:type="dxa"/>
            <w:bottom w:w="0" w:type="dxa"/>
            <w:right w:w="108" w:type="dxa"/>
          </w:tblCellMar>
        </w:tblPrEx>
        <w:trPr>
          <w:jc w:val="center"/>
        </w:trPr>
        <w:tc>
          <w:tcPr>
            <w:tcW w:w="1984" w:type="dxa"/>
            <w:tcBorders>
              <w:top w:val="single" w:color="AAAAAA" w:sz="4" w:space="0"/>
              <w:left w:val="single" w:color="AAAAAA" w:sz="4" w:space="0"/>
              <w:bottom w:val="single" w:color="AAAAAA" w:sz="4" w:space="0"/>
              <w:right w:val="single" w:color="AAAAAA" w:sz="4" w:space="0"/>
            </w:tcBorders>
            <w:shd w:val="clear" w:color="auto" w:fill="1F4E79"/>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color w:val="FFFFFF"/>
                <w:sz w:val="32"/>
                <w:szCs w:val="32"/>
              </w:rPr>
              <w:t>预警级别</w:t>
            </w:r>
          </w:p>
        </w:tc>
        <w:tc>
          <w:tcPr>
            <w:tcW w:w="3402" w:type="dxa"/>
            <w:tcBorders>
              <w:top w:val="single" w:color="AAAAAA" w:sz="4" w:space="0"/>
              <w:left w:val="single" w:color="AAAAAA" w:sz="4" w:space="0"/>
              <w:bottom w:val="single" w:color="AAAAAA" w:sz="4" w:space="0"/>
              <w:right w:val="single" w:color="AAAAAA" w:sz="4" w:space="0"/>
            </w:tcBorders>
            <w:shd w:val="clear" w:color="auto" w:fill="1F4E79"/>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color w:val="FFFFFF"/>
                <w:sz w:val="32"/>
                <w:szCs w:val="32"/>
              </w:rPr>
              <w:t>库存状态</w:t>
            </w:r>
          </w:p>
        </w:tc>
        <w:tc>
          <w:tcPr>
            <w:tcW w:w="3969" w:type="dxa"/>
            <w:tcBorders>
              <w:top w:val="single" w:color="AAAAAA" w:sz="4" w:space="0"/>
              <w:left w:val="single" w:color="AAAAAA" w:sz="4" w:space="0"/>
              <w:bottom w:val="single" w:color="AAAAAA" w:sz="4" w:space="0"/>
              <w:right w:val="single" w:color="AAAAAA" w:sz="4" w:space="0"/>
            </w:tcBorders>
            <w:shd w:val="clear" w:color="auto" w:fill="1F4E79"/>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color w:val="FFFFFF"/>
                <w:sz w:val="32"/>
                <w:szCs w:val="32"/>
              </w:rPr>
              <w:t>响应措施</w:t>
            </w:r>
          </w:p>
        </w:tc>
      </w:tr>
      <w:tr>
        <w:tblPrEx>
          <w:tblCellMar>
            <w:top w:w="0" w:type="dxa"/>
            <w:left w:w="108" w:type="dxa"/>
            <w:bottom w:w="0" w:type="dxa"/>
            <w:right w:w="108" w:type="dxa"/>
          </w:tblCellMar>
        </w:tblPrEx>
        <w:trPr>
          <w:jc w:val="center"/>
        </w:trPr>
        <w:tc>
          <w:tcPr>
            <w:tcW w:w="1984" w:type="dxa"/>
            <w:tcBorders>
              <w:top w:val="single" w:color="AAAAAA" w:sz="4" w:space="0"/>
              <w:left w:val="single" w:color="AAAAAA" w:sz="4" w:space="0"/>
              <w:bottom w:val="single" w:color="AAAAAA" w:sz="4" w:space="0"/>
              <w:right w:val="single" w:color="AAAAAA" w:sz="4" w:space="0"/>
            </w:tcBorders>
          </w:tcPr>
          <w:p>
            <w:pPr>
              <w:keepNext w:val="0"/>
              <w:keepLines w:val="0"/>
              <w:pageBreakBefore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Ⅲ级（黄色）</w:t>
            </w:r>
          </w:p>
        </w:tc>
        <w:tc>
          <w:tcPr>
            <w:tcW w:w="3402" w:type="dxa"/>
            <w:tcBorders>
              <w:top w:val="single" w:color="AAAAAA" w:sz="4" w:space="0"/>
              <w:left w:val="single" w:color="AAAAAA" w:sz="4" w:space="0"/>
              <w:bottom w:val="single" w:color="AAAAAA" w:sz="4" w:space="0"/>
              <w:right w:val="single" w:color="AAAAAA" w:sz="4" w:space="0"/>
            </w:tcBorders>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关键资源库存低于常规用量的30%</w:t>
            </w:r>
          </w:p>
        </w:tc>
        <w:tc>
          <w:tcPr>
            <w:tcW w:w="3969" w:type="dxa"/>
            <w:tcBorders>
              <w:top w:val="single" w:color="AAAAAA" w:sz="4" w:space="0"/>
              <w:left w:val="single" w:color="AAAAAA" w:sz="4" w:space="0"/>
              <w:bottom w:val="single" w:color="AAAAAA" w:sz="4" w:space="0"/>
              <w:right w:val="single" w:color="AAAAAA" w:sz="4" w:space="0"/>
            </w:tcBorders>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通知各单位加强储备检查，准备应急动员</w:t>
            </w:r>
          </w:p>
        </w:tc>
      </w:tr>
      <w:tr>
        <w:tblPrEx>
          <w:tblCellMar>
            <w:top w:w="0" w:type="dxa"/>
            <w:left w:w="108" w:type="dxa"/>
            <w:bottom w:w="0" w:type="dxa"/>
            <w:right w:w="108" w:type="dxa"/>
          </w:tblCellMar>
        </w:tblPrEx>
        <w:trPr>
          <w:jc w:val="center"/>
        </w:trPr>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keepNext w:val="0"/>
              <w:keepLines w:val="0"/>
              <w:pageBreakBefore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Ⅱ级（橙色）</w:t>
            </w:r>
          </w:p>
        </w:tc>
        <w:tc>
          <w:tcPr>
            <w:tcW w:w="3402" w:type="dxa"/>
            <w:tcBorders>
              <w:top w:val="single" w:color="AAAAAA" w:sz="4" w:space="0"/>
              <w:left w:val="single" w:color="AAAAAA" w:sz="4" w:space="0"/>
              <w:bottom w:val="single" w:color="AAAAAA" w:sz="4" w:space="0"/>
              <w:right w:val="single" w:color="AAAAAA" w:sz="4" w:space="0"/>
            </w:tcBorders>
            <w:shd w:val="clear" w:color="auto" w:fill="F2F7FB"/>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关键资源库存持续偏低</w:t>
            </w:r>
          </w:p>
        </w:tc>
        <w:tc>
          <w:tcPr>
            <w:tcW w:w="3969" w:type="dxa"/>
            <w:tcBorders>
              <w:top w:val="single" w:color="AAAAAA" w:sz="4" w:space="0"/>
              <w:left w:val="single" w:color="AAAAAA" w:sz="4" w:space="0"/>
              <w:bottom w:val="single" w:color="AAAAAA" w:sz="4" w:space="0"/>
              <w:right w:val="single" w:color="AAAAAA" w:sz="4" w:space="0"/>
            </w:tcBorders>
            <w:shd w:val="clear" w:color="auto" w:fill="F2F7FB"/>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启动应急采购和动员机制，限制非紧急使用</w:t>
            </w:r>
          </w:p>
        </w:tc>
      </w:tr>
      <w:tr>
        <w:trPr>
          <w:jc w:val="center"/>
        </w:trPr>
        <w:tc>
          <w:tcPr>
            <w:tcW w:w="1984" w:type="dxa"/>
            <w:tcBorders>
              <w:top w:val="single" w:color="AAAAAA" w:sz="4" w:space="0"/>
              <w:left w:val="single" w:color="AAAAAA" w:sz="4" w:space="0"/>
              <w:bottom w:val="single" w:color="AAAAAA" w:sz="4" w:space="0"/>
              <w:right w:val="single" w:color="AAAAAA" w:sz="4" w:space="0"/>
            </w:tcBorders>
          </w:tcPr>
          <w:p>
            <w:pPr>
              <w:keepNext w:val="0"/>
              <w:keepLines w:val="0"/>
              <w:pageBreakBefore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Ⅰ级（红色）</w:t>
            </w:r>
          </w:p>
        </w:tc>
        <w:tc>
          <w:tcPr>
            <w:tcW w:w="3402" w:type="dxa"/>
            <w:tcBorders>
              <w:top w:val="single" w:color="AAAAAA" w:sz="4" w:space="0"/>
              <w:left w:val="single" w:color="AAAAAA" w:sz="4" w:space="0"/>
              <w:bottom w:val="single" w:color="AAAAAA" w:sz="4" w:space="0"/>
              <w:right w:val="single" w:color="AAAAAA" w:sz="4" w:space="0"/>
            </w:tcBorders>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关键资源库存低于最低保障线</w:t>
            </w:r>
          </w:p>
        </w:tc>
        <w:tc>
          <w:tcPr>
            <w:tcW w:w="3969" w:type="dxa"/>
            <w:tcBorders>
              <w:top w:val="single" w:color="AAAAAA" w:sz="4" w:space="0"/>
              <w:left w:val="single" w:color="AAAAAA" w:sz="4" w:space="0"/>
              <w:bottom w:val="single" w:color="AAAAAA" w:sz="4" w:space="0"/>
              <w:right w:val="single" w:color="AAAAAA" w:sz="4" w:space="0"/>
            </w:tcBorders>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全面启动应急保障预案，统一调度全市资源</w:t>
            </w:r>
          </w:p>
        </w:tc>
      </w:tr>
    </w:tbl>
    <w:p>
      <w:pPr>
        <w:keepNext w:val="0"/>
        <w:keepLines w:val="0"/>
        <w:pageBreakBefore w:val="0"/>
        <w:kinsoku/>
        <w:wordWrap/>
        <w:overflowPunct/>
        <w:topLinePunct w:val="0"/>
        <w:autoSpaceDE/>
        <w:autoSpaceDN/>
        <w:bidi w:val="0"/>
        <w:adjustRightInd/>
        <w:snapToGrid/>
        <w:spacing w:before="80" w:after="80" w:line="58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预警信息发布对象为指挥部各成员单位、各医疗机构，通过市卫健委办公系统、短信平台等渠道同步发送。抗蛇毒血清库存低于7天常规用量时启动黄色预警，低于5天时启动红色预警。</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b/>
          <w:bCs/>
          <w:sz w:val="32"/>
          <w:szCs w:val="32"/>
          <w:lang w:val="en-US" w:eastAsia="zh-CN"/>
        </w:rPr>
        <w:t>7、</w:t>
      </w:r>
      <w:r>
        <w:rPr>
          <w:rFonts w:hint="eastAsia" w:ascii="黑体" w:hAnsi="黑体" w:eastAsia="黑体" w:cs="黑体"/>
          <w:b/>
          <w:bCs/>
          <w:sz w:val="32"/>
          <w:szCs w:val="32"/>
        </w:rPr>
        <w:t>保障措施</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7.1</w:t>
      </w:r>
      <w:r>
        <w:rPr>
          <w:rFonts w:hint="eastAsia" w:ascii="楷体_GB2312" w:hAnsi="楷体_GB2312" w:eastAsia="楷体_GB2312" w:cs="楷体_GB2312"/>
          <w:b/>
          <w:bCs/>
          <w:sz w:val="32"/>
          <w:szCs w:val="32"/>
        </w:rPr>
        <w:t>经费保障</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市、区财政部门将医疗资源应急保障经费纳入年度预算，保障应急物资储备、应急队伍建设、应急演练及应急处置所需经费。</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应急救治产生的个人医疗费用严格落实先救治、后结算制度，相关医疗费用按照政策规定先通过医保基金、医疗救助基金予以保障，特殊情形所需财政资金按政策规定妥善解决</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rPr>
        <w:t>抗蛇毒血清等专项稀缺药品纳入财政优先保障范围。</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7.2</w:t>
      </w:r>
      <w:r>
        <w:rPr>
          <w:rFonts w:hint="eastAsia" w:ascii="楷体_GB2312" w:hAnsi="楷体_GB2312" w:eastAsia="楷体_GB2312" w:cs="楷体_GB2312"/>
          <w:b/>
          <w:bCs/>
          <w:sz w:val="32"/>
          <w:szCs w:val="32"/>
        </w:rPr>
        <w:t>通信保障</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市工信部门协调基础电信运营企业，保障应急指挥通信网络畅通。配备卫星电话等设备作为极端条件下的备用通信手段。边远景区、蛇伤高风险区域确保卫星电话和对讲机（含备频）按组配置到位。</w:t>
      </w:r>
    </w:p>
    <w:p>
      <w:pPr>
        <w:keepNext w:val="0"/>
        <w:keepLines w:val="0"/>
        <w:pageBreakBefore w:val="0"/>
        <w:kinsoku/>
        <w:wordWrap/>
        <w:overflowPunct/>
        <w:topLinePunct w:val="0"/>
        <w:autoSpaceDE/>
        <w:autoSpaceDN/>
        <w:bidi w:val="0"/>
        <w:adjustRightInd/>
        <w:snapToGrid/>
        <w:spacing w:before="240" w:after="16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color w:val="000000" w:themeColor="text1"/>
          <w:sz w:val="32"/>
          <w:szCs w:val="32"/>
          <w14:textFill>
            <w14:solidFill>
              <w14:schemeClr w14:val="tx1"/>
            </w14:solidFill>
          </w14:textFill>
        </w:rPr>
        <w:t>7.3 信息保障</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建设三亚市医疗资源应急管理信息平台，整合全市医疗机构床位、人员、药品、器械、血液等资源信息，实现资源信息的实时共享、动态更新和可视化调度。平台应具备以下功能：</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（1）全市应急资源“一张图”展示，包括应急床位、应急队伍、储备物资、血液库存等关键资源的分布和状态。</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（2）应急调度指令的在线下达和反馈跟踪。</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（3）监测预警信息的自动推送和分级提醒。</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pPr>
      <w:r>
        <w:rPr>
          <w:rFonts w:hint="eastAsia" w:ascii="楷体_GB2312" w:hAnsi="楷体_GB2312" w:eastAsia="楷体_GB2312" w:cs="楷体_GB2312"/>
          <w:b/>
          <w:bCs/>
          <w:sz w:val="32"/>
          <w:szCs w:val="32"/>
          <w:lang w:val="en-US" w:eastAsia="zh-CN"/>
        </w:rPr>
        <w:t>7.4</w:t>
      </w:r>
      <w:r>
        <w:rPr>
          <w:rFonts w:hint="eastAsia" w:ascii="楷体_GB2312" w:hAnsi="楷体_GB2312" w:eastAsia="楷体_GB2312" w:cs="楷体_GB2312"/>
          <w:b/>
          <w:bCs/>
          <w:sz w:val="32"/>
          <w:szCs w:val="32"/>
        </w:rPr>
        <w:t>社会动员</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pPr>
      <w:r>
        <w:rPr>
          <w:rFonts w:hint="eastAsia" w:ascii="仿宋_GB2312" w:hAnsi="仿宋_GB2312" w:eastAsia="仿宋_GB2312" w:cs="仿宋_GB2312"/>
          <w:sz w:val="32"/>
          <w:szCs w:val="32"/>
        </w:rPr>
        <w:t>市红十字会、团市委和各区人民政府负责组织和培训志愿者，参与医疗秩序维护、物资搬运、心理疏导等辅助工作。鼓励社会各界捐赠医疗物资和资金。蛇伤等生物致伤事件发生后，通过“赛伦100蛇伤防治”小程序、市卫健委公众号、“三亚发布”等渠道向社会发布就近救治点信息，引导公众科学就医。</w:t>
      </w:r>
    </w:p>
    <w:p>
      <w:pPr>
        <w:keepNext w:val="0"/>
        <w:keepLines w:val="0"/>
        <w:pageBreakBefore w:val="0"/>
        <w:kinsoku/>
        <w:wordWrap/>
        <w:overflowPunct/>
        <w:topLinePunct w:val="0"/>
        <w:autoSpaceDE/>
        <w:autoSpaceDN/>
        <w:bidi w:val="0"/>
        <w:adjustRightInd/>
        <w:snapToGrid/>
        <w:spacing w:before="240" w:after="16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color w:val="000000" w:themeColor="text1"/>
          <w:sz w:val="32"/>
          <w:szCs w:val="32"/>
          <w14:textFill>
            <w14:solidFill>
              <w14:schemeClr w14:val="tx1"/>
            </w14:solidFill>
          </w14:textFill>
        </w:rPr>
        <w:t>7.5 演练与培训</w:t>
      </w:r>
    </w:p>
    <w:p>
      <w:pPr>
        <w:keepNext w:val="0"/>
        <w:keepLines w:val="0"/>
        <w:pageBreakBefore w:val="0"/>
        <w:kinsoku/>
        <w:wordWrap/>
        <w:overflowPunct/>
        <w:topLinePunct w:val="0"/>
        <w:autoSpaceDE/>
        <w:autoSpaceDN/>
        <w:bidi w:val="0"/>
        <w:adjustRightInd/>
        <w:snapToGrid/>
        <w:spacing w:before="80" w:after="80" w:line="580" w:lineRule="exact"/>
        <w:ind w:firstLine="4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挥部办公室每两年至少组织一次全市范围的综合应急演练。各医疗机构每年至少组织一次专项演练或桌面推演。蛇伤救治专项演练每年至少组织一次，重点检验120调度、血清匹配、院前处置和转诊流程。演练结束后30日内形成评估报告，发现问题及时整改。</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rPr>
      </w:pPr>
      <w:r>
        <w:rPr>
          <w:rFonts w:hint="eastAsia" w:ascii="黑体" w:hAnsi="黑体" w:eastAsia="黑体" w:cs="黑体"/>
          <w:b/>
          <w:bCs/>
          <w:sz w:val="32"/>
          <w:szCs w:val="32"/>
          <w:lang w:val="en-US" w:eastAsia="zh-CN"/>
        </w:rPr>
        <w:t>8、</w:t>
      </w:r>
      <w:r>
        <w:rPr>
          <w:rFonts w:hint="eastAsia" w:ascii="黑体" w:hAnsi="黑体" w:eastAsia="黑体" w:cs="黑体"/>
          <w:b/>
          <w:bCs/>
          <w:sz w:val="32"/>
          <w:szCs w:val="32"/>
        </w:rPr>
        <w:t>监督管理</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8.1</w:t>
      </w:r>
      <w:r>
        <w:rPr>
          <w:rFonts w:hint="eastAsia" w:ascii="楷体_GB2312" w:hAnsi="楷体_GB2312" w:eastAsia="楷体_GB2312" w:cs="楷体_GB2312"/>
          <w:b/>
          <w:bCs/>
          <w:sz w:val="32"/>
          <w:szCs w:val="32"/>
        </w:rPr>
        <w:t>宣传普及</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利用广播、电视、报刊、网络新媒体等多种形式，广泛宣传医疗应急知识和自救互救技能，提高公众的应急意识和能力。重点加强热带地区常见毒蛇识别、蛇伤先期处置（保持冷静、避免剧烈运动、弹性绷带加压固定、禁止切割和嘴吸）等科普宣传。</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val="en-US" w:eastAsia="zh-CN"/>
        </w:rPr>
        <w:t>8.2</w:t>
      </w:r>
      <w:r>
        <w:rPr>
          <w:rFonts w:hint="eastAsia" w:ascii="楷体_GB2312" w:hAnsi="楷体_GB2312" w:eastAsia="楷体_GB2312" w:cs="楷体_GB2312"/>
          <w:b/>
          <w:bCs/>
          <w:sz w:val="32"/>
          <w:szCs w:val="32"/>
        </w:rPr>
        <w:t>考核奖惩</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将医疗资源保障应急工作纳入各区、各部门年度绩效考核范围。对在应急处置中作出突出贡献的单位和个人给予表彰奖励。对失职渎职、不服从指挥调度、造成严重后果的，依法依纪追究责任。对抗蛇毒血清管理不规范、未按期轮换导致失效浪费的，严肃追责。</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8.3</w:t>
      </w:r>
      <w:r>
        <w:rPr>
          <w:rFonts w:hint="eastAsia" w:ascii="楷体_GB2312" w:hAnsi="楷体_GB2312" w:eastAsia="楷体_GB2312" w:cs="楷体_GB2312"/>
          <w:b/>
          <w:bCs/>
          <w:color w:val="000000" w:themeColor="text1"/>
          <w:sz w:val="32"/>
          <w:szCs w:val="32"/>
          <w14:textFill>
            <w14:solidFill>
              <w14:schemeClr w14:val="tx1"/>
            </w14:solidFill>
          </w14:textFill>
        </w:rPr>
        <w:t>预案修订</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和评估</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本预案遵循动态更新原则，修订工作依据《三亚市应急预案管理实施办法》及相关规定执行。</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符合下列情形之一的，应及时启动修订程序：</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（1）有关法律、行政法规、规章、标准或上位法应急预案发生变更；</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（2）应急指挥机构及其职责发生重大调整；</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（3）面临的风险发生重大变化；</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（4）重要应急资源发生重大变化；</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（5）在突发事件应对或应急演练中发现重大问题、经验教训需吸收采纳；</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（6）预案编制单位认为应当修订的其他情况。</w:t>
      </w:r>
    </w:p>
    <w:p>
      <w:pPr>
        <w:keepNext w:val="0"/>
        <w:keepLines w:val="0"/>
        <w:pageBreakBefore w:val="0"/>
        <w:widowControl w:val="0"/>
        <w:kinsoku/>
        <w:wordWrap/>
        <w:overflowPunct/>
        <w:topLinePunct w:val="0"/>
        <w:autoSpaceDE/>
        <w:autoSpaceDN/>
        <w:bidi w:val="0"/>
        <w:adjustRightInd/>
        <w:snapToGrid/>
        <w:spacing w:before="80" w:after="80" w:line="580" w:lineRule="exact"/>
        <w:ind w:firstLine="44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预案修订原则上每三年至少进行一次评估，评估结果作为修订依据。若无需修订，经批准后可延续使用，但最长不得超过五年。</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9、</w:t>
      </w:r>
      <w:r>
        <w:rPr>
          <w:rFonts w:hint="eastAsia" w:ascii="黑体" w:hAnsi="黑体" w:eastAsia="黑体" w:cs="黑体"/>
          <w:b/>
          <w:bCs/>
          <w:color w:val="000000" w:themeColor="text1"/>
          <w:sz w:val="32"/>
          <w:szCs w:val="32"/>
          <w14:textFill>
            <w14:solidFill>
              <w14:schemeClr w14:val="tx1"/>
            </w14:solidFill>
          </w14:textFill>
        </w:rPr>
        <w:t>附  则</w:t>
      </w:r>
    </w:p>
    <w:p>
      <w:pPr>
        <w:pStyle w:val="3"/>
        <w:keepNext w:val="0"/>
        <w:keepLines w:val="0"/>
        <w:pageBreakBefore w:val="0"/>
        <w:kinsoku/>
        <w:wordWrap/>
        <w:overflowPunct/>
        <w:topLinePunct w:val="0"/>
        <w:autoSpaceDE/>
        <w:autoSpaceDN/>
        <w:bidi w:val="0"/>
        <w:adjustRightInd/>
        <w:snapToGrid/>
        <w:spacing w:before="300" w:after="180" w:line="580" w:lineRule="exac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9.1</w:t>
      </w:r>
      <w:r>
        <w:rPr>
          <w:rFonts w:hint="eastAsia" w:ascii="楷体_GB2312" w:hAnsi="楷体_GB2312" w:eastAsia="楷体_GB2312" w:cs="楷体_GB2312"/>
          <w:b/>
          <w:bCs/>
          <w:color w:val="000000" w:themeColor="text1"/>
          <w:sz w:val="32"/>
          <w:szCs w:val="32"/>
          <w14:textFill>
            <w14:solidFill>
              <w14:schemeClr w14:val="tx1"/>
            </w14:solidFill>
          </w14:textFill>
        </w:rPr>
        <w:t>预案解释</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本预案</w:t>
      </w:r>
      <w:r>
        <w:rPr>
          <w:rFonts w:hint="eastAsia" w:ascii="仿宋_GB2312" w:hAnsi="仿宋_GB2312" w:eastAsia="仿宋_GB2312" w:cs="仿宋_GB2312"/>
          <w:color w:val="000000" w:themeColor="text1"/>
          <w:sz w:val="32"/>
          <w:szCs w:val="32"/>
          <w14:textFill>
            <w14:solidFill>
              <w14:schemeClr w14:val="tx1"/>
            </w14:solidFill>
          </w14:textFill>
        </w:rPr>
        <w:t>由三亚市卫生健康委员会解释</w:t>
      </w:r>
      <w:r>
        <w:rPr>
          <w:rFonts w:hint="eastAsia" w:ascii="仿宋_GB2312" w:hAnsi="仿宋_GB2312" w:eastAsia="仿宋_GB2312" w:cs="仿宋_GB2312"/>
          <w:color w:val="000000" w:themeColor="text1"/>
          <w:sz w:val="32"/>
          <w:szCs w:val="32"/>
          <w:lang w:eastAsia="zh-CN"/>
          <w14:textFill>
            <w14:solidFill>
              <w14:schemeClr w14:val="tx1"/>
            </w14:solidFill>
          </w14:textFill>
        </w:rPr>
        <w:t>，实施期间如国家和省相关政策出现重大调整，或发现问题，由</w:t>
      </w:r>
      <w:r>
        <w:rPr>
          <w:rFonts w:hint="eastAsia" w:ascii="仿宋_GB2312" w:hAnsi="仿宋_GB2312" w:eastAsia="仿宋_GB2312" w:cs="仿宋_GB2312"/>
          <w:color w:val="000000" w:themeColor="text1"/>
          <w:sz w:val="32"/>
          <w:szCs w:val="32"/>
          <w14:textFill>
            <w14:solidFill>
              <w14:schemeClr w14:val="tx1"/>
            </w14:solidFill>
          </w14:textFill>
        </w:rPr>
        <w:t>三亚市卫生健康委员会</w:t>
      </w:r>
      <w:r>
        <w:rPr>
          <w:rFonts w:hint="eastAsia" w:ascii="仿宋_GB2312" w:hAnsi="仿宋_GB2312" w:eastAsia="仿宋_GB2312" w:cs="仿宋_GB2312"/>
          <w:color w:val="000000" w:themeColor="text1"/>
          <w:sz w:val="32"/>
          <w:szCs w:val="32"/>
          <w:lang w:eastAsia="zh-CN"/>
          <w14:textFill>
            <w14:solidFill>
              <w14:schemeClr w14:val="tx1"/>
            </w14:solidFill>
          </w14:textFill>
        </w:rPr>
        <w:t>对预案及时修订完善，并报送审批。</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本院自公布之日起施行。</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附件：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1.蛇咬伤应急医疗资源通讯与物资</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1520" w:left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2.应急医疗卫生救援队伍成员名单</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1520" w:left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3.应急药品与医疗器械储备清单</w:t>
      </w:r>
    </w:p>
    <w:p>
      <w:pPr>
        <w:keepNext w:val="0"/>
        <w:keepLines w:val="0"/>
        <w:pageBreakBefore w:val="0"/>
        <w:numPr>
          <w:ilvl w:val="0"/>
          <w:numId w:val="0"/>
        </w:numPr>
        <w:kinsoku/>
        <w:wordWrap/>
        <w:overflowPunct/>
        <w:topLinePunct w:val="0"/>
        <w:autoSpaceDE/>
        <w:autoSpaceDN/>
        <w:bidi w:val="0"/>
        <w:adjustRightInd/>
        <w:snapToGrid/>
        <w:spacing w:before="60" w:after="60" w:line="580" w:lineRule="exact"/>
        <w:ind w:left="1520" w:leftChars="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4.突发事件血液保障应急措施</w:t>
      </w:r>
    </w:p>
    <w:p>
      <w:pPr>
        <w:keepNext w:val="0"/>
        <w:keepLines w:val="0"/>
        <w:pageBreakBefore w:val="0"/>
        <w:kinsoku/>
        <w:wordWrap/>
        <w:overflowPunct/>
        <w:topLinePunct w:val="0"/>
        <w:autoSpaceDE/>
        <w:autoSpaceDN/>
        <w:bidi w:val="0"/>
        <w:adjustRightInd/>
        <w:snapToGrid/>
        <w:spacing w:before="60" w:after="60" w:line="580" w:lineRule="exact"/>
        <w:ind w:firstLine="560"/>
        <w:jc w:val="both"/>
        <w:textAlignment w:val="auto"/>
      </w:pPr>
    </w:p>
    <w:sectPr>
      <w:headerReference r:id="rId5" w:type="default"/>
      <w:footerReference r:id="rId6" w:type="default"/>
      <w:pgSz w:w="11906" w:h="16838"/>
      <w:pgMar w:top="1440" w:right="1440" w:bottom="1440" w:left="1440" w:header="708" w:footer="708" w:gutter="0"/>
      <w:pgNumType w:fmt="decimal"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WenQuanYi Micro Hei">
    <w:altName w:val="汉仪仿宋S"/>
    <w:panose1 w:val="00000000000000000000"/>
    <w:charset w:val="86"/>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ajorEastAsia" w:hAnsiTheme="majorEastAsia" w:eastAsiaTheme="majorEastAsia" w:cstheme="majorEastAsia"/>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9"/>
                      <w:rPr>
                        <w:rFonts w:hint="eastAsia" w:asciiTheme="majorEastAsia" w:hAnsiTheme="majorEastAsia" w:eastAsiaTheme="majorEastAsia" w:cstheme="maj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4"/>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9"/>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26264"/>
    <w:multiLevelType w:val="singleLevel"/>
    <w:tmpl w:val="9CF26264"/>
    <w:lvl w:ilvl="0" w:tentative="0">
      <w:start w:val="1"/>
      <w:numFmt w:val="decimal"/>
      <w:suff w:val="nothing"/>
      <w:lvlText w:val="（%1）"/>
      <w:lvlJc w:val="left"/>
    </w:lvl>
  </w:abstractNum>
  <w:abstractNum w:abstractNumId="1">
    <w:nsid w:val="D77D0F42"/>
    <w:multiLevelType w:val="singleLevel"/>
    <w:tmpl w:val="D77D0F42"/>
    <w:lvl w:ilvl="0" w:tentative="0">
      <w:start w:val="1"/>
      <w:numFmt w:val="decimal"/>
      <w:suff w:val="nothing"/>
      <w:lvlText w:val="（%1）"/>
      <w:lvlJc w:val="left"/>
    </w:lvl>
  </w:abstractNum>
  <w:abstractNum w:abstractNumId="2">
    <w:nsid w:val="DFFD0282"/>
    <w:multiLevelType w:val="singleLevel"/>
    <w:tmpl w:val="DFFD0282"/>
    <w:lvl w:ilvl="0" w:tentative="0">
      <w:start w:val="2"/>
      <w:numFmt w:val="decimal"/>
      <w:suff w:val="nothing"/>
      <w:lvlText w:val="%1、"/>
      <w:lvlJc w:val="left"/>
    </w:lvl>
  </w:abstractNum>
  <w:abstractNum w:abstractNumId="3">
    <w:nsid w:val="EB32BF86"/>
    <w:multiLevelType w:val="singleLevel"/>
    <w:tmpl w:val="EB32BF86"/>
    <w:lvl w:ilvl="0" w:tentative="0">
      <w:start w:val="1"/>
      <w:numFmt w:val="decimal"/>
      <w:suff w:val="nothing"/>
      <w:lvlText w:val="（%1）"/>
      <w:lvlJc w:val="left"/>
    </w:lvl>
  </w:abstractNum>
  <w:abstractNum w:abstractNumId="4">
    <w:nsid w:val="EFAF6B4F"/>
    <w:multiLevelType w:val="singleLevel"/>
    <w:tmpl w:val="EFAF6B4F"/>
    <w:lvl w:ilvl="0" w:tentative="0">
      <w:start w:val="1"/>
      <w:numFmt w:val="decimal"/>
      <w:suff w:val="nothing"/>
      <w:lvlText w:val="（%1）"/>
      <w:lvlJc w:val="left"/>
    </w:lvl>
  </w:abstractNum>
  <w:abstractNum w:abstractNumId="5">
    <w:nsid w:val="1FF421F9"/>
    <w:multiLevelType w:val="singleLevel"/>
    <w:tmpl w:val="1FF421F9"/>
    <w:lvl w:ilvl="0" w:tentative="0">
      <w:start w:val="1"/>
      <w:numFmt w:val="decimal"/>
      <w:suff w:val="nothing"/>
      <w:lvlText w:val="（%1）"/>
      <w:lvlJc w:val="left"/>
    </w:lvl>
  </w:abstractNum>
  <w:abstractNum w:abstractNumId="6">
    <w:nsid w:val="4DAB020C"/>
    <w:multiLevelType w:val="singleLevel"/>
    <w:tmpl w:val="4DAB020C"/>
    <w:lvl w:ilvl="0" w:tentative="0">
      <w:start w:val="1"/>
      <w:numFmt w:val="decimalEnclosedCircleChinese"/>
      <w:suff w:val="space"/>
      <w:lvlText w:val="%1"/>
      <w:lvlJc w:val="left"/>
      <w:rPr>
        <w:rFonts w:hint="eastAsia"/>
      </w:rPr>
    </w:lvl>
  </w:abstractNum>
  <w:abstractNum w:abstractNumId="7">
    <w:nsid w:val="5FEE0019"/>
    <w:multiLevelType w:val="singleLevel"/>
    <w:tmpl w:val="5FEE0019"/>
    <w:lvl w:ilvl="0" w:tentative="0">
      <w:start w:val="1"/>
      <w:numFmt w:val="decimalEnclosedCircleChinese"/>
      <w:suff w:val="space"/>
      <w:lvlText w:val="%1"/>
      <w:lvlJc w:val="left"/>
      <w:rPr>
        <w:rFonts w:hint="eastAsia"/>
      </w:rPr>
    </w:lvl>
  </w:abstractNum>
  <w:abstractNum w:abstractNumId="8">
    <w:nsid w:val="7AAA9867"/>
    <w:multiLevelType w:val="singleLevel"/>
    <w:tmpl w:val="7AAA9867"/>
    <w:lvl w:ilvl="0" w:tentative="0">
      <w:start w:val="1"/>
      <w:numFmt w:val="decimal"/>
      <w:suff w:val="nothing"/>
      <w:lvlText w:val="（%1）"/>
      <w:lvlJc w:val="left"/>
    </w:lvl>
  </w:abstractNum>
  <w:abstractNum w:abstractNumId="9">
    <w:nsid w:val="7CEC78F9"/>
    <w:multiLevelType w:val="singleLevel"/>
    <w:tmpl w:val="7CEC78F9"/>
    <w:lvl w:ilvl="0" w:tentative="0">
      <w:start w:val="8"/>
      <w:numFmt w:val="decimal"/>
      <w:suff w:val="nothing"/>
      <w:lvlText w:val="%1、"/>
      <w:lvlJc w:val="left"/>
    </w:lvl>
  </w:abstractNum>
  <w:abstractNum w:abstractNumId="10">
    <w:nsid w:val="7FFFBB9F"/>
    <w:multiLevelType w:val="singleLevel"/>
    <w:tmpl w:val="7FFFBB9F"/>
    <w:lvl w:ilvl="0" w:tentative="0">
      <w:start w:val="1"/>
      <w:numFmt w:val="decimal"/>
      <w:suff w:val="nothing"/>
      <w:lvlText w:val="%1、"/>
      <w:lvlJc w:val="left"/>
    </w:lvl>
  </w:abstractNum>
  <w:num w:numId="1">
    <w:abstractNumId w:val="2"/>
  </w:num>
  <w:num w:numId="2">
    <w:abstractNumId w:val="9"/>
  </w:num>
  <w:num w:numId="3">
    <w:abstractNumId w:val="10"/>
  </w:num>
  <w:num w:numId="4">
    <w:abstractNumId w:val="5"/>
  </w:num>
  <w:num w:numId="5">
    <w:abstractNumId w:val="4"/>
  </w:num>
  <w:num w:numId="6">
    <w:abstractNumId w:val="3"/>
  </w:num>
  <w:num w:numId="7">
    <w:abstractNumId w:val="7"/>
  </w:num>
  <w:num w:numId="8">
    <w:abstractNumId w:val="6"/>
  </w:num>
  <w:num w:numId="9">
    <w:abstractNumId w:val="8"/>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true"/>
  <w:attachedTemplate r:id="rId1"/>
  <w:documentProtection w:enforcement="0"/>
  <w:compat>
    <w:useFELayout/>
    <w:compatSetting w:name="compatibilityMode" w:uri="http://schemas.microsoft.com/office/word" w:val="15"/>
  </w:compat>
  <w:rsids>
    <w:rsidRoot w:val="00172A27"/>
    <w:rsid w:val="06ED8C63"/>
    <w:rsid w:val="09EF9085"/>
    <w:rsid w:val="09F3F2ED"/>
    <w:rsid w:val="0BFBBE29"/>
    <w:rsid w:val="0CDF5B22"/>
    <w:rsid w:val="0D3DDF0F"/>
    <w:rsid w:val="0F7E00BD"/>
    <w:rsid w:val="0F9B1685"/>
    <w:rsid w:val="0FF3FF98"/>
    <w:rsid w:val="1133243F"/>
    <w:rsid w:val="13E5E135"/>
    <w:rsid w:val="13FE6855"/>
    <w:rsid w:val="151720D3"/>
    <w:rsid w:val="153F618D"/>
    <w:rsid w:val="169F0870"/>
    <w:rsid w:val="177BBAFF"/>
    <w:rsid w:val="17DFDE1C"/>
    <w:rsid w:val="17FA9223"/>
    <w:rsid w:val="19FE9BF1"/>
    <w:rsid w:val="1A5FE08A"/>
    <w:rsid w:val="1AFABCC9"/>
    <w:rsid w:val="1BD344DA"/>
    <w:rsid w:val="1BD7D743"/>
    <w:rsid w:val="1BEFD387"/>
    <w:rsid w:val="1C67B331"/>
    <w:rsid w:val="1CA73690"/>
    <w:rsid w:val="1D3D3E1C"/>
    <w:rsid w:val="1D45F543"/>
    <w:rsid w:val="1D65ECA7"/>
    <w:rsid w:val="1DBF521D"/>
    <w:rsid w:val="1ED977B1"/>
    <w:rsid w:val="1EE744C2"/>
    <w:rsid w:val="1EF7D91C"/>
    <w:rsid w:val="1EFF54FF"/>
    <w:rsid w:val="1F37356E"/>
    <w:rsid w:val="1F3F46DE"/>
    <w:rsid w:val="1F7FC033"/>
    <w:rsid w:val="1FDD3FA2"/>
    <w:rsid w:val="1FDFAF17"/>
    <w:rsid w:val="1FE5CCB3"/>
    <w:rsid w:val="1FED0E28"/>
    <w:rsid w:val="1FEDEA23"/>
    <w:rsid w:val="1FFD5D89"/>
    <w:rsid w:val="21BD0F5A"/>
    <w:rsid w:val="22F99E51"/>
    <w:rsid w:val="24BF85C5"/>
    <w:rsid w:val="253F702C"/>
    <w:rsid w:val="256F5288"/>
    <w:rsid w:val="25F57975"/>
    <w:rsid w:val="276F9628"/>
    <w:rsid w:val="277970B9"/>
    <w:rsid w:val="27F610C7"/>
    <w:rsid w:val="27F6EE13"/>
    <w:rsid w:val="27F7C75F"/>
    <w:rsid w:val="27FF737B"/>
    <w:rsid w:val="2B6F9102"/>
    <w:rsid w:val="2CFE3852"/>
    <w:rsid w:val="2D5FD400"/>
    <w:rsid w:val="2DE52956"/>
    <w:rsid w:val="2DED410D"/>
    <w:rsid w:val="2DF5CCD1"/>
    <w:rsid w:val="2DFF8097"/>
    <w:rsid w:val="2DFFF6A4"/>
    <w:rsid w:val="2E3F7D8F"/>
    <w:rsid w:val="2E4BB2FA"/>
    <w:rsid w:val="2F2E76B3"/>
    <w:rsid w:val="2F378E71"/>
    <w:rsid w:val="2F6FE139"/>
    <w:rsid w:val="2F7B41E1"/>
    <w:rsid w:val="2F9F3277"/>
    <w:rsid w:val="2FAE602B"/>
    <w:rsid w:val="2FBE21D3"/>
    <w:rsid w:val="2FD64A12"/>
    <w:rsid w:val="2FDD1E24"/>
    <w:rsid w:val="2FDE38BC"/>
    <w:rsid w:val="2FDF481B"/>
    <w:rsid w:val="2FEF8636"/>
    <w:rsid w:val="2FF624D2"/>
    <w:rsid w:val="2FFBA743"/>
    <w:rsid w:val="31F4800C"/>
    <w:rsid w:val="31FF18B5"/>
    <w:rsid w:val="331DA7CC"/>
    <w:rsid w:val="337B844E"/>
    <w:rsid w:val="337B95E7"/>
    <w:rsid w:val="337F4A68"/>
    <w:rsid w:val="33DF1F1C"/>
    <w:rsid w:val="33FBC75F"/>
    <w:rsid w:val="33FD31AD"/>
    <w:rsid w:val="343E30B7"/>
    <w:rsid w:val="34FF81DD"/>
    <w:rsid w:val="34FFB1B4"/>
    <w:rsid w:val="353E7F57"/>
    <w:rsid w:val="35EF322B"/>
    <w:rsid w:val="369FF3E8"/>
    <w:rsid w:val="36B3B3D5"/>
    <w:rsid w:val="36BE9AE6"/>
    <w:rsid w:val="36CDDEA2"/>
    <w:rsid w:val="36D92EC4"/>
    <w:rsid w:val="36FD3269"/>
    <w:rsid w:val="36FEBE15"/>
    <w:rsid w:val="375BEAF6"/>
    <w:rsid w:val="375D83AB"/>
    <w:rsid w:val="377ADB84"/>
    <w:rsid w:val="377B76F8"/>
    <w:rsid w:val="37B0B261"/>
    <w:rsid w:val="37B5DE67"/>
    <w:rsid w:val="37BF277A"/>
    <w:rsid w:val="37DF160E"/>
    <w:rsid w:val="37DFBEAC"/>
    <w:rsid w:val="37EA22CF"/>
    <w:rsid w:val="37F3FCC4"/>
    <w:rsid w:val="37F57D55"/>
    <w:rsid w:val="37F57ED4"/>
    <w:rsid w:val="37F612DB"/>
    <w:rsid w:val="37FAB5D6"/>
    <w:rsid w:val="37FBB377"/>
    <w:rsid w:val="37FF781B"/>
    <w:rsid w:val="382F0B7B"/>
    <w:rsid w:val="38DE6897"/>
    <w:rsid w:val="3957B199"/>
    <w:rsid w:val="39AAEBC7"/>
    <w:rsid w:val="39D750C8"/>
    <w:rsid w:val="39FFC4C5"/>
    <w:rsid w:val="3A7EBD09"/>
    <w:rsid w:val="3ADFD8C8"/>
    <w:rsid w:val="3AEFF98B"/>
    <w:rsid w:val="3AF7C49C"/>
    <w:rsid w:val="3AFE78A6"/>
    <w:rsid w:val="3B1E43EA"/>
    <w:rsid w:val="3B4B5D0C"/>
    <w:rsid w:val="3B4C689F"/>
    <w:rsid w:val="3B5F1E4B"/>
    <w:rsid w:val="3B5F57EC"/>
    <w:rsid w:val="3B7514F6"/>
    <w:rsid w:val="3B760971"/>
    <w:rsid w:val="3B7F31E1"/>
    <w:rsid w:val="3B83122A"/>
    <w:rsid w:val="3BCE99A9"/>
    <w:rsid w:val="3BEBA567"/>
    <w:rsid w:val="3BEEB372"/>
    <w:rsid w:val="3BFD6121"/>
    <w:rsid w:val="3BFE544D"/>
    <w:rsid w:val="3CD776E1"/>
    <w:rsid w:val="3CFB3D85"/>
    <w:rsid w:val="3CFF9A7D"/>
    <w:rsid w:val="3D061579"/>
    <w:rsid w:val="3D3BFE5A"/>
    <w:rsid w:val="3D89CB1E"/>
    <w:rsid w:val="3D9BC8D4"/>
    <w:rsid w:val="3DBA5141"/>
    <w:rsid w:val="3DC9D96F"/>
    <w:rsid w:val="3DDBBB3B"/>
    <w:rsid w:val="3DDE4B40"/>
    <w:rsid w:val="3DEF23AA"/>
    <w:rsid w:val="3DEFE791"/>
    <w:rsid w:val="3DF7E1CA"/>
    <w:rsid w:val="3DFF8FA0"/>
    <w:rsid w:val="3DFFD01D"/>
    <w:rsid w:val="3E6F0C2B"/>
    <w:rsid w:val="3EAF69E9"/>
    <w:rsid w:val="3EC66E00"/>
    <w:rsid w:val="3EDDC52F"/>
    <w:rsid w:val="3EDF4562"/>
    <w:rsid w:val="3EDF8A98"/>
    <w:rsid w:val="3EE5F9D4"/>
    <w:rsid w:val="3EED0BAD"/>
    <w:rsid w:val="3EED7E6C"/>
    <w:rsid w:val="3EFA83E9"/>
    <w:rsid w:val="3EFF4668"/>
    <w:rsid w:val="3F2F875D"/>
    <w:rsid w:val="3F2FB652"/>
    <w:rsid w:val="3F3DBB33"/>
    <w:rsid w:val="3F3F09D8"/>
    <w:rsid w:val="3F3F839E"/>
    <w:rsid w:val="3F3FCE00"/>
    <w:rsid w:val="3F5F07FD"/>
    <w:rsid w:val="3F5F7EA1"/>
    <w:rsid w:val="3F77749C"/>
    <w:rsid w:val="3F77CC50"/>
    <w:rsid w:val="3F7A4551"/>
    <w:rsid w:val="3F870828"/>
    <w:rsid w:val="3F8B1502"/>
    <w:rsid w:val="3FAB0CBF"/>
    <w:rsid w:val="3FBDAECF"/>
    <w:rsid w:val="3FBE7A19"/>
    <w:rsid w:val="3FBF0001"/>
    <w:rsid w:val="3FCFC977"/>
    <w:rsid w:val="3FDC640C"/>
    <w:rsid w:val="3FDF899F"/>
    <w:rsid w:val="3FE40F0B"/>
    <w:rsid w:val="3FE74438"/>
    <w:rsid w:val="3FE793B7"/>
    <w:rsid w:val="3FEF0E18"/>
    <w:rsid w:val="3FEFB582"/>
    <w:rsid w:val="3FFA34F6"/>
    <w:rsid w:val="3FFA7325"/>
    <w:rsid w:val="3FFB38B6"/>
    <w:rsid w:val="3FFD9DA3"/>
    <w:rsid w:val="3FFE2137"/>
    <w:rsid w:val="3FFF1E06"/>
    <w:rsid w:val="3FFF9BA3"/>
    <w:rsid w:val="3FFFB9F8"/>
    <w:rsid w:val="3FFFC71E"/>
    <w:rsid w:val="3FFFD6A6"/>
    <w:rsid w:val="46BFF195"/>
    <w:rsid w:val="478361FC"/>
    <w:rsid w:val="49BC12EB"/>
    <w:rsid w:val="4A71C8D4"/>
    <w:rsid w:val="4ABE0E25"/>
    <w:rsid w:val="4AFF46D1"/>
    <w:rsid w:val="4AFF6968"/>
    <w:rsid w:val="4B773132"/>
    <w:rsid w:val="4CFB0669"/>
    <w:rsid w:val="4D3DE720"/>
    <w:rsid w:val="4DFFFB24"/>
    <w:rsid w:val="4EAA7166"/>
    <w:rsid w:val="4EFAC44F"/>
    <w:rsid w:val="4F7B00B9"/>
    <w:rsid w:val="4FAB1A50"/>
    <w:rsid w:val="4FC3DE01"/>
    <w:rsid w:val="4FE57309"/>
    <w:rsid w:val="4FEE3CD4"/>
    <w:rsid w:val="4FEF5088"/>
    <w:rsid w:val="4FF934D0"/>
    <w:rsid w:val="4FFE029C"/>
    <w:rsid w:val="529B4C99"/>
    <w:rsid w:val="52F2CF56"/>
    <w:rsid w:val="52FD4691"/>
    <w:rsid w:val="537F5E31"/>
    <w:rsid w:val="53BFB34F"/>
    <w:rsid w:val="53EF795A"/>
    <w:rsid w:val="53EFBBEA"/>
    <w:rsid w:val="53FBA333"/>
    <w:rsid w:val="547F45C3"/>
    <w:rsid w:val="555BF3C4"/>
    <w:rsid w:val="557F21F3"/>
    <w:rsid w:val="567FA04C"/>
    <w:rsid w:val="56E31FCA"/>
    <w:rsid w:val="56FDFF7E"/>
    <w:rsid w:val="56FE209D"/>
    <w:rsid w:val="57576888"/>
    <w:rsid w:val="577DCCD6"/>
    <w:rsid w:val="577FB0C6"/>
    <w:rsid w:val="579F6B11"/>
    <w:rsid w:val="579F84FB"/>
    <w:rsid w:val="57AE0559"/>
    <w:rsid w:val="57B96E39"/>
    <w:rsid w:val="57BB27FB"/>
    <w:rsid w:val="57CAFD2B"/>
    <w:rsid w:val="57CFF751"/>
    <w:rsid w:val="57F15A27"/>
    <w:rsid w:val="57F6E675"/>
    <w:rsid w:val="57F75E25"/>
    <w:rsid w:val="57F8656E"/>
    <w:rsid w:val="57FBE0F6"/>
    <w:rsid w:val="57FF79F2"/>
    <w:rsid w:val="58C72EC4"/>
    <w:rsid w:val="58FF8843"/>
    <w:rsid w:val="595DECBF"/>
    <w:rsid w:val="5991F81B"/>
    <w:rsid w:val="59BD22EA"/>
    <w:rsid w:val="5A771424"/>
    <w:rsid w:val="5AAF42CA"/>
    <w:rsid w:val="5AEFA25C"/>
    <w:rsid w:val="5B57E8F1"/>
    <w:rsid w:val="5B5B2381"/>
    <w:rsid w:val="5B5D249C"/>
    <w:rsid w:val="5B5FAEDA"/>
    <w:rsid w:val="5BA2597F"/>
    <w:rsid w:val="5BBFA02E"/>
    <w:rsid w:val="5BEEB70C"/>
    <w:rsid w:val="5BF3ABE1"/>
    <w:rsid w:val="5BF57CF6"/>
    <w:rsid w:val="5BF7C323"/>
    <w:rsid w:val="5BF7E1E5"/>
    <w:rsid w:val="5BFF3149"/>
    <w:rsid w:val="5CA57EF3"/>
    <w:rsid w:val="5CBDAE52"/>
    <w:rsid w:val="5CED2EA5"/>
    <w:rsid w:val="5D6A7E5A"/>
    <w:rsid w:val="5D6FCFE2"/>
    <w:rsid w:val="5D7F6EF8"/>
    <w:rsid w:val="5D9FF47C"/>
    <w:rsid w:val="5DC968FC"/>
    <w:rsid w:val="5DCB30BB"/>
    <w:rsid w:val="5DCC302E"/>
    <w:rsid w:val="5DDD11C1"/>
    <w:rsid w:val="5DDF76B7"/>
    <w:rsid w:val="5DEF8E22"/>
    <w:rsid w:val="5DEFE266"/>
    <w:rsid w:val="5DF33ED3"/>
    <w:rsid w:val="5DFA5C7E"/>
    <w:rsid w:val="5DFE9CDD"/>
    <w:rsid w:val="5DFF0C9D"/>
    <w:rsid w:val="5DFF7264"/>
    <w:rsid w:val="5E3FC89F"/>
    <w:rsid w:val="5E5F3C21"/>
    <w:rsid w:val="5E7F7208"/>
    <w:rsid w:val="5EBB6BF5"/>
    <w:rsid w:val="5ED6FEA0"/>
    <w:rsid w:val="5EEB9471"/>
    <w:rsid w:val="5EEF84C8"/>
    <w:rsid w:val="5EEFA533"/>
    <w:rsid w:val="5EFDF104"/>
    <w:rsid w:val="5EFE37DB"/>
    <w:rsid w:val="5EFF1C59"/>
    <w:rsid w:val="5F36190A"/>
    <w:rsid w:val="5F3E7A1D"/>
    <w:rsid w:val="5F3FFD91"/>
    <w:rsid w:val="5F4D5C0C"/>
    <w:rsid w:val="5F5A4FA3"/>
    <w:rsid w:val="5F5FFACA"/>
    <w:rsid w:val="5F637464"/>
    <w:rsid w:val="5F6549BD"/>
    <w:rsid w:val="5F69B661"/>
    <w:rsid w:val="5F774219"/>
    <w:rsid w:val="5F7D552F"/>
    <w:rsid w:val="5FBE000A"/>
    <w:rsid w:val="5FBEFD40"/>
    <w:rsid w:val="5FCDD33B"/>
    <w:rsid w:val="5FCF6F78"/>
    <w:rsid w:val="5FD3F689"/>
    <w:rsid w:val="5FD6AFB8"/>
    <w:rsid w:val="5FD70F8B"/>
    <w:rsid w:val="5FD719E2"/>
    <w:rsid w:val="5FDBB0FA"/>
    <w:rsid w:val="5FDD07EB"/>
    <w:rsid w:val="5FDE382E"/>
    <w:rsid w:val="5FDEA87B"/>
    <w:rsid w:val="5FDECA64"/>
    <w:rsid w:val="5FDF01E1"/>
    <w:rsid w:val="5FDF6DCF"/>
    <w:rsid w:val="5FDFF7B4"/>
    <w:rsid w:val="5FF27F19"/>
    <w:rsid w:val="5FF73755"/>
    <w:rsid w:val="5FF7AEC4"/>
    <w:rsid w:val="5FF7D667"/>
    <w:rsid w:val="5FFB68FB"/>
    <w:rsid w:val="5FFB9369"/>
    <w:rsid w:val="5FFB9580"/>
    <w:rsid w:val="5FFD3910"/>
    <w:rsid w:val="5FFE77CF"/>
    <w:rsid w:val="5FFFB593"/>
    <w:rsid w:val="5FFFC60C"/>
    <w:rsid w:val="612E4DE6"/>
    <w:rsid w:val="61D71993"/>
    <w:rsid w:val="61DD7095"/>
    <w:rsid w:val="626F036E"/>
    <w:rsid w:val="63FE6144"/>
    <w:rsid w:val="63FF804D"/>
    <w:rsid w:val="644B8593"/>
    <w:rsid w:val="649FAA3F"/>
    <w:rsid w:val="64F99B6F"/>
    <w:rsid w:val="64FFD3FF"/>
    <w:rsid w:val="65FFB8AC"/>
    <w:rsid w:val="663D6632"/>
    <w:rsid w:val="66974496"/>
    <w:rsid w:val="66DF2984"/>
    <w:rsid w:val="66FD4C20"/>
    <w:rsid w:val="6727F2D2"/>
    <w:rsid w:val="675F4AB8"/>
    <w:rsid w:val="676D49D2"/>
    <w:rsid w:val="679BEAB1"/>
    <w:rsid w:val="67BE2974"/>
    <w:rsid w:val="67DFD151"/>
    <w:rsid w:val="67FB3358"/>
    <w:rsid w:val="67FCC8E4"/>
    <w:rsid w:val="6AD9201B"/>
    <w:rsid w:val="6AF9D307"/>
    <w:rsid w:val="6AFFA9E9"/>
    <w:rsid w:val="6B3D3AC8"/>
    <w:rsid w:val="6B5399EA"/>
    <w:rsid w:val="6B7FE2F9"/>
    <w:rsid w:val="6BBF0917"/>
    <w:rsid w:val="6BBFF12E"/>
    <w:rsid w:val="6BBFFA78"/>
    <w:rsid w:val="6BCDF4E5"/>
    <w:rsid w:val="6BDD38E9"/>
    <w:rsid w:val="6BE181D1"/>
    <w:rsid w:val="6BEDF6B2"/>
    <w:rsid w:val="6BFD881D"/>
    <w:rsid w:val="6BFF295F"/>
    <w:rsid w:val="6C4DB17D"/>
    <w:rsid w:val="6CDB4956"/>
    <w:rsid w:val="6CE640A2"/>
    <w:rsid w:val="6D1D7B63"/>
    <w:rsid w:val="6D3B7F82"/>
    <w:rsid w:val="6D5A2CA6"/>
    <w:rsid w:val="6D7F7FA1"/>
    <w:rsid w:val="6DBF2437"/>
    <w:rsid w:val="6DD89C1B"/>
    <w:rsid w:val="6DDFB84A"/>
    <w:rsid w:val="6DEDEE51"/>
    <w:rsid w:val="6DFEF73B"/>
    <w:rsid w:val="6DFF1308"/>
    <w:rsid w:val="6DFFE321"/>
    <w:rsid w:val="6E7F915E"/>
    <w:rsid w:val="6E955EAA"/>
    <w:rsid w:val="6E970E04"/>
    <w:rsid w:val="6EBFFB99"/>
    <w:rsid w:val="6ECEE927"/>
    <w:rsid w:val="6EEE81C5"/>
    <w:rsid w:val="6EF79497"/>
    <w:rsid w:val="6EFBF9ED"/>
    <w:rsid w:val="6EFDBD0E"/>
    <w:rsid w:val="6EFF7C34"/>
    <w:rsid w:val="6EFFC1D7"/>
    <w:rsid w:val="6F36C27F"/>
    <w:rsid w:val="6F3FE28E"/>
    <w:rsid w:val="6F4FA00C"/>
    <w:rsid w:val="6F5E8702"/>
    <w:rsid w:val="6F5F453E"/>
    <w:rsid w:val="6F5F6C10"/>
    <w:rsid w:val="6F5F8BF4"/>
    <w:rsid w:val="6F6D868E"/>
    <w:rsid w:val="6F6F5FEA"/>
    <w:rsid w:val="6F75276D"/>
    <w:rsid w:val="6F75B6ED"/>
    <w:rsid w:val="6F7B54F3"/>
    <w:rsid w:val="6F7E8034"/>
    <w:rsid w:val="6F7FC252"/>
    <w:rsid w:val="6F83136F"/>
    <w:rsid w:val="6F99AB12"/>
    <w:rsid w:val="6F9B6963"/>
    <w:rsid w:val="6F9BBF66"/>
    <w:rsid w:val="6FBF1154"/>
    <w:rsid w:val="6FBFA020"/>
    <w:rsid w:val="6FCC3E79"/>
    <w:rsid w:val="6FCC8B5A"/>
    <w:rsid w:val="6FD7296D"/>
    <w:rsid w:val="6FDB38A6"/>
    <w:rsid w:val="6FDB39A7"/>
    <w:rsid w:val="6FDF067E"/>
    <w:rsid w:val="6FDF56E8"/>
    <w:rsid w:val="6FDFA6EE"/>
    <w:rsid w:val="6FE3D8D9"/>
    <w:rsid w:val="6FEA8B8E"/>
    <w:rsid w:val="6FEB91F8"/>
    <w:rsid w:val="6FEBDB30"/>
    <w:rsid w:val="6FEF34A4"/>
    <w:rsid w:val="6FF40885"/>
    <w:rsid w:val="6FF70CB7"/>
    <w:rsid w:val="6FF73B7A"/>
    <w:rsid w:val="6FF84353"/>
    <w:rsid w:val="6FFA1DA8"/>
    <w:rsid w:val="6FFB6ED8"/>
    <w:rsid w:val="6FFED3C0"/>
    <w:rsid w:val="6FFF1BB4"/>
    <w:rsid w:val="6FFFCC13"/>
    <w:rsid w:val="6FFFEDA2"/>
    <w:rsid w:val="709711B6"/>
    <w:rsid w:val="717F2348"/>
    <w:rsid w:val="717F2665"/>
    <w:rsid w:val="71F9CE3E"/>
    <w:rsid w:val="71FBC554"/>
    <w:rsid w:val="71FDB124"/>
    <w:rsid w:val="721F57E2"/>
    <w:rsid w:val="72F3AF94"/>
    <w:rsid w:val="72F3FD92"/>
    <w:rsid w:val="72F9A9EA"/>
    <w:rsid w:val="72FFBEBF"/>
    <w:rsid w:val="733F0FB2"/>
    <w:rsid w:val="739BD2B9"/>
    <w:rsid w:val="739DFF39"/>
    <w:rsid w:val="73B76F27"/>
    <w:rsid w:val="73CDCA49"/>
    <w:rsid w:val="73D7B105"/>
    <w:rsid w:val="73E5752A"/>
    <w:rsid w:val="73EF0215"/>
    <w:rsid w:val="73F9072D"/>
    <w:rsid w:val="73FF5651"/>
    <w:rsid w:val="73FF603B"/>
    <w:rsid w:val="73FFCBFA"/>
    <w:rsid w:val="742F6379"/>
    <w:rsid w:val="74AB358E"/>
    <w:rsid w:val="74D30BC3"/>
    <w:rsid w:val="74F72FBA"/>
    <w:rsid w:val="74F7CA69"/>
    <w:rsid w:val="74F7D076"/>
    <w:rsid w:val="74FDF93A"/>
    <w:rsid w:val="75CBD79B"/>
    <w:rsid w:val="75D375FC"/>
    <w:rsid w:val="75DB8EEC"/>
    <w:rsid w:val="75EF34FA"/>
    <w:rsid w:val="75F567AD"/>
    <w:rsid w:val="75F71329"/>
    <w:rsid w:val="75FB50BF"/>
    <w:rsid w:val="75FBE8B5"/>
    <w:rsid w:val="75FD4555"/>
    <w:rsid w:val="75FD8F43"/>
    <w:rsid w:val="762EEFC6"/>
    <w:rsid w:val="7633D57D"/>
    <w:rsid w:val="767F4ED3"/>
    <w:rsid w:val="769A4D54"/>
    <w:rsid w:val="769E25E2"/>
    <w:rsid w:val="76AF73E6"/>
    <w:rsid w:val="76BE9712"/>
    <w:rsid w:val="76C453B6"/>
    <w:rsid w:val="76CF0081"/>
    <w:rsid w:val="76F28D29"/>
    <w:rsid w:val="76F4A35E"/>
    <w:rsid w:val="76F70E1C"/>
    <w:rsid w:val="76F7812F"/>
    <w:rsid w:val="76FB283F"/>
    <w:rsid w:val="76FF9FA0"/>
    <w:rsid w:val="773AFB09"/>
    <w:rsid w:val="773F4EB4"/>
    <w:rsid w:val="774E1278"/>
    <w:rsid w:val="775BD0A1"/>
    <w:rsid w:val="776FA689"/>
    <w:rsid w:val="7776AD0C"/>
    <w:rsid w:val="7779A9CA"/>
    <w:rsid w:val="777D2BAE"/>
    <w:rsid w:val="777E2F2B"/>
    <w:rsid w:val="77B709E8"/>
    <w:rsid w:val="77BBD3E8"/>
    <w:rsid w:val="77BF6FF6"/>
    <w:rsid w:val="77BFD68E"/>
    <w:rsid w:val="77D35010"/>
    <w:rsid w:val="77D9324E"/>
    <w:rsid w:val="77DFD4CF"/>
    <w:rsid w:val="77EB911F"/>
    <w:rsid w:val="77ED485E"/>
    <w:rsid w:val="77EDDC99"/>
    <w:rsid w:val="77EE691E"/>
    <w:rsid w:val="77EF57DC"/>
    <w:rsid w:val="77F51476"/>
    <w:rsid w:val="77F5EE31"/>
    <w:rsid w:val="77F73669"/>
    <w:rsid w:val="77F789D6"/>
    <w:rsid w:val="77F7904B"/>
    <w:rsid w:val="77F7B467"/>
    <w:rsid w:val="77F7BE3B"/>
    <w:rsid w:val="77FAD497"/>
    <w:rsid w:val="77FBB71B"/>
    <w:rsid w:val="77FDB69D"/>
    <w:rsid w:val="77FDC9C1"/>
    <w:rsid w:val="77FEC328"/>
    <w:rsid w:val="77FF966F"/>
    <w:rsid w:val="783FD38D"/>
    <w:rsid w:val="7867B1B4"/>
    <w:rsid w:val="787F72B6"/>
    <w:rsid w:val="78B7D0CD"/>
    <w:rsid w:val="78CB70C7"/>
    <w:rsid w:val="78DB6855"/>
    <w:rsid w:val="78EB5B24"/>
    <w:rsid w:val="78FF0DBB"/>
    <w:rsid w:val="78FF584A"/>
    <w:rsid w:val="794D22E5"/>
    <w:rsid w:val="796F203F"/>
    <w:rsid w:val="7975E8EE"/>
    <w:rsid w:val="79F2C3E2"/>
    <w:rsid w:val="79F6D6D9"/>
    <w:rsid w:val="79F9DE17"/>
    <w:rsid w:val="7A1F5D56"/>
    <w:rsid w:val="7A2FD35F"/>
    <w:rsid w:val="7A5E82F1"/>
    <w:rsid w:val="7A5F875E"/>
    <w:rsid w:val="7A7BA22A"/>
    <w:rsid w:val="7A9BD46C"/>
    <w:rsid w:val="7ABF04CD"/>
    <w:rsid w:val="7ABF2770"/>
    <w:rsid w:val="7ADF82A4"/>
    <w:rsid w:val="7AF570C5"/>
    <w:rsid w:val="7AF7C397"/>
    <w:rsid w:val="7AFBFC6E"/>
    <w:rsid w:val="7B674B1C"/>
    <w:rsid w:val="7B77B67F"/>
    <w:rsid w:val="7B7E5A66"/>
    <w:rsid w:val="7B7E8A16"/>
    <w:rsid w:val="7B7FC03E"/>
    <w:rsid w:val="7B8B9974"/>
    <w:rsid w:val="7B94E380"/>
    <w:rsid w:val="7BAB107E"/>
    <w:rsid w:val="7BAD0D15"/>
    <w:rsid w:val="7BAFB7DF"/>
    <w:rsid w:val="7BB60040"/>
    <w:rsid w:val="7BB75175"/>
    <w:rsid w:val="7BBB7CA3"/>
    <w:rsid w:val="7BD9AFB2"/>
    <w:rsid w:val="7BDBC988"/>
    <w:rsid w:val="7BDE8F79"/>
    <w:rsid w:val="7BE674D1"/>
    <w:rsid w:val="7BEBA96C"/>
    <w:rsid w:val="7BF2B176"/>
    <w:rsid w:val="7BF3AECD"/>
    <w:rsid w:val="7BF72B14"/>
    <w:rsid w:val="7BFAC16F"/>
    <w:rsid w:val="7BFC94BD"/>
    <w:rsid w:val="7BFE2EA0"/>
    <w:rsid w:val="7BFF9FC9"/>
    <w:rsid w:val="7BFFC539"/>
    <w:rsid w:val="7C7B2891"/>
    <w:rsid w:val="7C7DCBA1"/>
    <w:rsid w:val="7C7F3F55"/>
    <w:rsid w:val="7CA2F9C1"/>
    <w:rsid w:val="7CAE1C6E"/>
    <w:rsid w:val="7CAFB1A4"/>
    <w:rsid w:val="7CBC095C"/>
    <w:rsid w:val="7CCF9575"/>
    <w:rsid w:val="7CEE6A62"/>
    <w:rsid w:val="7CF55155"/>
    <w:rsid w:val="7CF7AFD6"/>
    <w:rsid w:val="7CFD662E"/>
    <w:rsid w:val="7CFFDBFE"/>
    <w:rsid w:val="7CFFF3E4"/>
    <w:rsid w:val="7D5B91AA"/>
    <w:rsid w:val="7D673AFF"/>
    <w:rsid w:val="7D6F4021"/>
    <w:rsid w:val="7D7BB2E9"/>
    <w:rsid w:val="7D7BEA1C"/>
    <w:rsid w:val="7DADD44D"/>
    <w:rsid w:val="7DB7435A"/>
    <w:rsid w:val="7DBB7E52"/>
    <w:rsid w:val="7DBE8DEF"/>
    <w:rsid w:val="7DCE98A5"/>
    <w:rsid w:val="7DD36E4A"/>
    <w:rsid w:val="7DDE23A6"/>
    <w:rsid w:val="7DDF1FEA"/>
    <w:rsid w:val="7DDF6E13"/>
    <w:rsid w:val="7DEBDDC5"/>
    <w:rsid w:val="7DEF01B5"/>
    <w:rsid w:val="7DF30FBD"/>
    <w:rsid w:val="7DF93F4B"/>
    <w:rsid w:val="7DFB2A8B"/>
    <w:rsid w:val="7DFBA8E4"/>
    <w:rsid w:val="7DFDCFEE"/>
    <w:rsid w:val="7DFE4913"/>
    <w:rsid w:val="7DFE665F"/>
    <w:rsid w:val="7E0BFE8C"/>
    <w:rsid w:val="7E1CE939"/>
    <w:rsid w:val="7E1FAE31"/>
    <w:rsid w:val="7E5B4924"/>
    <w:rsid w:val="7E5C1CA7"/>
    <w:rsid w:val="7E5EF27B"/>
    <w:rsid w:val="7E5F6966"/>
    <w:rsid w:val="7E5FF2AB"/>
    <w:rsid w:val="7E695E01"/>
    <w:rsid w:val="7E6FBA63"/>
    <w:rsid w:val="7E7736DF"/>
    <w:rsid w:val="7E774BE1"/>
    <w:rsid w:val="7E7D19AF"/>
    <w:rsid w:val="7E7E79E5"/>
    <w:rsid w:val="7E7FDA4F"/>
    <w:rsid w:val="7EAEFDE7"/>
    <w:rsid w:val="7EB68B85"/>
    <w:rsid w:val="7EBB945C"/>
    <w:rsid w:val="7ED70F19"/>
    <w:rsid w:val="7ED7107C"/>
    <w:rsid w:val="7EDCE2D0"/>
    <w:rsid w:val="7EE8CB44"/>
    <w:rsid w:val="7EE97BC0"/>
    <w:rsid w:val="7EEFD28F"/>
    <w:rsid w:val="7EF31157"/>
    <w:rsid w:val="7EF7EE9C"/>
    <w:rsid w:val="7EF7FE0E"/>
    <w:rsid w:val="7EFBF03C"/>
    <w:rsid w:val="7EFD52F9"/>
    <w:rsid w:val="7EFE0586"/>
    <w:rsid w:val="7EFFE07E"/>
    <w:rsid w:val="7F13FF67"/>
    <w:rsid w:val="7F196AA0"/>
    <w:rsid w:val="7F1B3321"/>
    <w:rsid w:val="7F1F53D7"/>
    <w:rsid w:val="7F1FA78A"/>
    <w:rsid w:val="7F2EDD69"/>
    <w:rsid w:val="7F314BEF"/>
    <w:rsid w:val="7F31F8F9"/>
    <w:rsid w:val="7F3697E7"/>
    <w:rsid w:val="7F37CB0C"/>
    <w:rsid w:val="7F3A701B"/>
    <w:rsid w:val="7F3C795A"/>
    <w:rsid w:val="7F3D3ADE"/>
    <w:rsid w:val="7F4356FF"/>
    <w:rsid w:val="7F4D17E8"/>
    <w:rsid w:val="7F4FC25E"/>
    <w:rsid w:val="7F53C2AC"/>
    <w:rsid w:val="7F540577"/>
    <w:rsid w:val="7F5738C8"/>
    <w:rsid w:val="7F57C5AA"/>
    <w:rsid w:val="7F5E011D"/>
    <w:rsid w:val="7F5E64C5"/>
    <w:rsid w:val="7F6364DD"/>
    <w:rsid w:val="7F6525C5"/>
    <w:rsid w:val="7F67D752"/>
    <w:rsid w:val="7F6B298E"/>
    <w:rsid w:val="7F6F8803"/>
    <w:rsid w:val="7F6F88DF"/>
    <w:rsid w:val="7F721060"/>
    <w:rsid w:val="7F768E1A"/>
    <w:rsid w:val="7F786C2B"/>
    <w:rsid w:val="7F789310"/>
    <w:rsid w:val="7F7A07DA"/>
    <w:rsid w:val="7F7A9C05"/>
    <w:rsid w:val="7F7B6BAF"/>
    <w:rsid w:val="7F7BB8E7"/>
    <w:rsid w:val="7F7DF934"/>
    <w:rsid w:val="7F7F17F2"/>
    <w:rsid w:val="7F7F29EE"/>
    <w:rsid w:val="7F7F7A9B"/>
    <w:rsid w:val="7F7F9119"/>
    <w:rsid w:val="7F7F9E59"/>
    <w:rsid w:val="7F7FF1C3"/>
    <w:rsid w:val="7F961788"/>
    <w:rsid w:val="7F978353"/>
    <w:rsid w:val="7F9F13BF"/>
    <w:rsid w:val="7F9F269E"/>
    <w:rsid w:val="7F9F30ED"/>
    <w:rsid w:val="7FADCD4C"/>
    <w:rsid w:val="7FAF15E3"/>
    <w:rsid w:val="7FAF62BD"/>
    <w:rsid w:val="7FB38EAF"/>
    <w:rsid w:val="7FB78A64"/>
    <w:rsid w:val="7FB79F41"/>
    <w:rsid w:val="7FB90A2C"/>
    <w:rsid w:val="7FBAD33E"/>
    <w:rsid w:val="7FBBC4F9"/>
    <w:rsid w:val="7FBCC3B7"/>
    <w:rsid w:val="7FBCCF34"/>
    <w:rsid w:val="7FBCD3C8"/>
    <w:rsid w:val="7FBDB613"/>
    <w:rsid w:val="7FBF43E0"/>
    <w:rsid w:val="7FC9AB47"/>
    <w:rsid w:val="7FCE0376"/>
    <w:rsid w:val="7FCE1EEF"/>
    <w:rsid w:val="7FCE232F"/>
    <w:rsid w:val="7FCE4CA2"/>
    <w:rsid w:val="7FCE971A"/>
    <w:rsid w:val="7FCEAE87"/>
    <w:rsid w:val="7FCFDBFA"/>
    <w:rsid w:val="7FD396FD"/>
    <w:rsid w:val="7FD45F98"/>
    <w:rsid w:val="7FD72C30"/>
    <w:rsid w:val="7FD7A011"/>
    <w:rsid w:val="7FDD3FC0"/>
    <w:rsid w:val="7FDE3FF5"/>
    <w:rsid w:val="7FDED642"/>
    <w:rsid w:val="7FDEE58B"/>
    <w:rsid w:val="7FDF3D0A"/>
    <w:rsid w:val="7FDF550D"/>
    <w:rsid w:val="7FDF8B0C"/>
    <w:rsid w:val="7FDF94B0"/>
    <w:rsid w:val="7FE1E0E8"/>
    <w:rsid w:val="7FE53168"/>
    <w:rsid w:val="7FE62698"/>
    <w:rsid w:val="7FE6C6DC"/>
    <w:rsid w:val="7FECA302"/>
    <w:rsid w:val="7FECA5A2"/>
    <w:rsid w:val="7FED052F"/>
    <w:rsid w:val="7FEE1C6E"/>
    <w:rsid w:val="7FEE8D1F"/>
    <w:rsid w:val="7FEF8E9B"/>
    <w:rsid w:val="7FF38C75"/>
    <w:rsid w:val="7FF39E61"/>
    <w:rsid w:val="7FF56695"/>
    <w:rsid w:val="7FF6FAC1"/>
    <w:rsid w:val="7FF735FE"/>
    <w:rsid w:val="7FF742B6"/>
    <w:rsid w:val="7FF74E56"/>
    <w:rsid w:val="7FF7A3B5"/>
    <w:rsid w:val="7FF7A6CD"/>
    <w:rsid w:val="7FF84E15"/>
    <w:rsid w:val="7FF9C80D"/>
    <w:rsid w:val="7FF9D718"/>
    <w:rsid w:val="7FFCB7B9"/>
    <w:rsid w:val="7FFD2D8A"/>
    <w:rsid w:val="7FFD620E"/>
    <w:rsid w:val="7FFD8544"/>
    <w:rsid w:val="7FFE14F1"/>
    <w:rsid w:val="7FFE2C30"/>
    <w:rsid w:val="7FFE852E"/>
    <w:rsid w:val="7FFE95A5"/>
    <w:rsid w:val="7FFEAD52"/>
    <w:rsid w:val="7FFF04A3"/>
    <w:rsid w:val="7FFF3C2C"/>
    <w:rsid w:val="7FFF41F3"/>
    <w:rsid w:val="7FFF7C48"/>
    <w:rsid w:val="7FFFA9DF"/>
    <w:rsid w:val="83EFDB9A"/>
    <w:rsid w:val="83F35D4D"/>
    <w:rsid w:val="873EEAA4"/>
    <w:rsid w:val="87F57674"/>
    <w:rsid w:val="8AE1E673"/>
    <w:rsid w:val="8B8F12C8"/>
    <w:rsid w:val="8C77B3D9"/>
    <w:rsid w:val="8D7E686D"/>
    <w:rsid w:val="8DB9E3B5"/>
    <w:rsid w:val="8DDF3AE2"/>
    <w:rsid w:val="8F7FE27A"/>
    <w:rsid w:val="8FBE7AAE"/>
    <w:rsid w:val="91F71634"/>
    <w:rsid w:val="95AFC92B"/>
    <w:rsid w:val="95EE066B"/>
    <w:rsid w:val="976F19F2"/>
    <w:rsid w:val="977DCB57"/>
    <w:rsid w:val="97BFBF69"/>
    <w:rsid w:val="97E70B24"/>
    <w:rsid w:val="97F7F293"/>
    <w:rsid w:val="97FE6C84"/>
    <w:rsid w:val="98FBE391"/>
    <w:rsid w:val="992F27FC"/>
    <w:rsid w:val="99EA9655"/>
    <w:rsid w:val="9AFB657C"/>
    <w:rsid w:val="9AFFEDB2"/>
    <w:rsid w:val="9BAAA61B"/>
    <w:rsid w:val="9BED03D1"/>
    <w:rsid w:val="9BFB7D86"/>
    <w:rsid w:val="9BFEF01C"/>
    <w:rsid w:val="9CB93587"/>
    <w:rsid w:val="9CFCE2DE"/>
    <w:rsid w:val="9D663F01"/>
    <w:rsid w:val="9DC700A0"/>
    <w:rsid w:val="9DCDF795"/>
    <w:rsid w:val="9DCF3856"/>
    <w:rsid w:val="9DEA1BB2"/>
    <w:rsid w:val="9E2FEDCD"/>
    <w:rsid w:val="9EBAEB79"/>
    <w:rsid w:val="9F5F7D2A"/>
    <w:rsid w:val="9F6E9267"/>
    <w:rsid w:val="9F6FF816"/>
    <w:rsid w:val="9F763142"/>
    <w:rsid w:val="9FB425A2"/>
    <w:rsid w:val="9FB9A08E"/>
    <w:rsid w:val="9FBAC9E6"/>
    <w:rsid w:val="9FDC0CF2"/>
    <w:rsid w:val="9FEB6CDB"/>
    <w:rsid w:val="9FED65DF"/>
    <w:rsid w:val="9FF6A3EE"/>
    <w:rsid w:val="9FFD6274"/>
    <w:rsid w:val="9FFF3B10"/>
    <w:rsid w:val="9FFF9D05"/>
    <w:rsid w:val="A133D5F2"/>
    <w:rsid w:val="A1A727A0"/>
    <w:rsid w:val="A3AFB118"/>
    <w:rsid w:val="A5D7D60E"/>
    <w:rsid w:val="A5F58BDB"/>
    <w:rsid w:val="A6FFC1B0"/>
    <w:rsid w:val="A75E7EF2"/>
    <w:rsid w:val="A77D9FC0"/>
    <w:rsid w:val="A77E49DF"/>
    <w:rsid w:val="A77FFDA0"/>
    <w:rsid w:val="A7B4BA5C"/>
    <w:rsid w:val="A7EFA408"/>
    <w:rsid w:val="A7F58C86"/>
    <w:rsid w:val="A7FBC69C"/>
    <w:rsid w:val="A8DDD167"/>
    <w:rsid w:val="A91F5353"/>
    <w:rsid w:val="A97C82F1"/>
    <w:rsid w:val="ABBB0EE8"/>
    <w:rsid w:val="ABBF17F3"/>
    <w:rsid w:val="ABF98F69"/>
    <w:rsid w:val="ABFF6569"/>
    <w:rsid w:val="ABFF91FD"/>
    <w:rsid w:val="AC7D88A6"/>
    <w:rsid w:val="ACFBEE85"/>
    <w:rsid w:val="ADBF25C5"/>
    <w:rsid w:val="ADE9AB92"/>
    <w:rsid w:val="AE5F8FE2"/>
    <w:rsid w:val="AE778F79"/>
    <w:rsid w:val="AEC650D4"/>
    <w:rsid w:val="AF540FD3"/>
    <w:rsid w:val="AF5B8922"/>
    <w:rsid w:val="AF6E85F3"/>
    <w:rsid w:val="AF7C3EFD"/>
    <w:rsid w:val="AF7F2F36"/>
    <w:rsid w:val="AF9BDCBC"/>
    <w:rsid w:val="AFAB79F3"/>
    <w:rsid w:val="AFAC6F1B"/>
    <w:rsid w:val="AFB01936"/>
    <w:rsid w:val="AFBEC1B4"/>
    <w:rsid w:val="AFDC2C70"/>
    <w:rsid w:val="AFEB06E4"/>
    <w:rsid w:val="AFF7462F"/>
    <w:rsid w:val="AFFA0AED"/>
    <w:rsid w:val="AFFAD364"/>
    <w:rsid w:val="AFFBE2DB"/>
    <w:rsid w:val="AFFC36CB"/>
    <w:rsid w:val="B15D000E"/>
    <w:rsid w:val="B1BD3AF0"/>
    <w:rsid w:val="B2F7B1CF"/>
    <w:rsid w:val="B33F2A5B"/>
    <w:rsid w:val="B37ABC96"/>
    <w:rsid w:val="B3BBD093"/>
    <w:rsid w:val="B4E6594E"/>
    <w:rsid w:val="B4F71618"/>
    <w:rsid w:val="B57B470E"/>
    <w:rsid w:val="B6FE3C6E"/>
    <w:rsid w:val="B73E47C9"/>
    <w:rsid w:val="B76B4088"/>
    <w:rsid w:val="B777D935"/>
    <w:rsid w:val="B77E1A71"/>
    <w:rsid w:val="B79FB240"/>
    <w:rsid w:val="B7A301AE"/>
    <w:rsid w:val="B7B450E0"/>
    <w:rsid w:val="B7BE24BC"/>
    <w:rsid w:val="B7CB09C4"/>
    <w:rsid w:val="B7D9C714"/>
    <w:rsid w:val="B7DBD0CB"/>
    <w:rsid w:val="B7EE7920"/>
    <w:rsid w:val="B7F54635"/>
    <w:rsid w:val="B7F707CB"/>
    <w:rsid w:val="B7F7D54F"/>
    <w:rsid w:val="B7F90BA7"/>
    <w:rsid w:val="B7FF0316"/>
    <w:rsid w:val="B7FF45E6"/>
    <w:rsid w:val="B87D53F2"/>
    <w:rsid w:val="B8F76951"/>
    <w:rsid w:val="B8FD5135"/>
    <w:rsid w:val="B97B656F"/>
    <w:rsid w:val="B9BF5ABE"/>
    <w:rsid w:val="B9CE6C03"/>
    <w:rsid w:val="B9F6A1E7"/>
    <w:rsid w:val="B9FF5F5C"/>
    <w:rsid w:val="BA3B6072"/>
    <w:rsid w:val="BA9E920E"/>
    <w:rsid w:val="BAD741D7"/>
    <w:rsid w:val="BAE79EED"/>
    <w:rsid w:val="BBCD5DAD"/>
    <w:rsid w:val="BBDB17BE"/>
    <w:rsid w:val="BBDD3FAC"/>
    <w:rsid w:val="BBF6C9F0"/>
    <w:rsid w:val="BBFF3227"/>
    <w:rsid w:val="BC7F3AFB"/>
    <w:rsid w:val="BCAF966E"/>
    <w:rsid w:val="BCEE22B3"/>
    <w:rsid w:val="BCEE516A"/>
    <w:rsid w:val="BD4336D8"/>
    <w:rsid w:val="BD59CB67"/>
    <w:rsid w:val="BD5F08EC"/>
    <w:rsid w:val="BD6F8EBD"/>
    <w:rsid w:val="BD79D710"/>
    <w:rsid w:val="BD7F0CC9"/>
    <w:rsid w:val="BDB3DF42"/>
    <w:rsid w:val="BDC58EFD"/>
    <w:rsid w:val="BDDB2374"/>
    <w:rsid w:val="BDDFAD95"/>
    <w:rsid w:val="BDEFFBC7"/>
    <w:rsid w:val="BDF2F303"/>
    <w:rsid w:val="BDF740B2"/>
    <w:rsid w:val="BDFFF068"/>
    <w:rsid w:val="BE0FBFED"/>
    <w:rsid w:val="BE592353"/>
    <w:rsid w:val="BE7B4DE4"/>
    <w:rsid w:val="BE7BEC03"/>
    <w:rsid w:val="BEABD9EE"/>
    <w:rsid w:val="BEBF5A54"/>
    <w:rsid w:val="BEC28998"/>
    <w:rsid w:val="BEF51078"/>
    <w:rsid w:val="BEF5E8D8"/>
    <w:rsid w:val="BEF7439E"/>
    <w:rsid w:val="BEF7A500"/>
    <w:rsid w:val="BEFF3874"/>
    <w:rsid w:val="BF1FECC7"/>
    <w:rsid w:val="BF31C799"/>
    <w:rsid w:val="BF3B61FA"/>
    <w:rsid w:val="BF74C95F"/>
    <w:rsid w:val="BF7D5286"/>
    <w:rsid w:val="BF7D7110"/>
    <w:rsid w:val="BF7EAFA4"/>
    <w:rsid w:val="BF9D6597"/>
    <w:rsid w:val="BF9DD1C8"/>
    <w:rsid w:val="BFA8B9D9"/>
    <w:rsid w:val="BFAF6889"/>
    <w:rsid w:val="BFAFDEC3"/>
    <w:rsid w:val="BFBD0261"/>
    <w:rsid w:val="BFBDB9B0"/>
    <w:rsid w:val="BFBF0275"/>
    <w:rsid w:val="BFBF4AEC"/>
    <w:rsid w:val="BFBF9F70"/>
    <w:rsid w:val="BFDEAA19"/>
    <w:rsid w:val="BFEDD750"/>
    <w:rsid w:val="BFEF60B8"/>
    <w:rsid w:val="BFF3F6D5"/>
    <w:rsid w:val="BFF6528F"/>
    <w:rsid w:val="BFF7D172"/>
    <w:rsid w:val="BFF7E7C9"/>
    <w:rsid w:val="BFFAD283"/>
    <w:rsid w:val="BFFB3DF3"/>
    <w:rsid w:val="BFFCBDE9"/>
    <w:rsid w:val="BFFD9210"/>
    <w:rsid w:val="BFFE4FC8"/>
    <w:rsid w:val="BFFF87FB"/>
    <w:rsid w:val="BFFFD0CD"/>
    <w:rsid w:val="BFFFDAC5"/>
    <w:rsid w:val="C2D73E5A"/>
    <w:rsid w:val="C67695CF"/>
    <w:rsid w:val="C67F61CD"/>
    <w:rsid w:val="C7B63412"/>
    <w:rsid w:val="C7ED61F2"/>
    <w:rsid w:val="C7FDFCB9"/>
    <w:rsid w:val="C9EF4B02"/>
    <w:rsid w:val="CAFF8351"/>
    <w:rsid w:val="CB378E0B"/>
    <w:rsid w:val="CB70F884"/>
    <w:rsid w:val="CB7FDBC1"/>
    <w:rsid w:val="CBBD34F0"/>
    <w:rsid w:val="CBDFB4C0"/>
    <w:rsid w:val="CC7C7E1D"/>
    <w:rsid w:val="CCFDE4C9"/>
    <w:rsid w:val="CDCF905D"/>
    <w:rsid w:val="CDDF4E5B"/>
    <w:rsid w:val="CDDF9B52"/>
    <w:rsid w:val="CDEE584E"/>
    <w:rsid w:val="CDFBB6BE"/>
    <w:rsid w:val="CE6ED3A5"/>
    <w:rsid w:val="CE7DD41E"/>
    <w:rsid w:val="CECD21A2"/>
    <w:rsid w:val="CED5CDA4"/>
    <w:rsid w:val="CED7B1DD"/>
    <w:rsid w:val="CEFD77D6"/>
    <w:rsid w:val="CEFFBAC2"/>
    <w:rsid w:val="CF1F0235"/>
    <w:rsid w:val="CF3F41AF"/>
    <w:rsid w:val="CF7EF005"/>
    <w:rsid w:val="CFAFF4E4"/>
    <w:rsid w:val="CFCEA098"/>
    <w:rsid w:val="CFDFF75D"/>
    <w:rsid w:val="CFED42A3"/>
    <w:rsid w:val="D07F952B"/>
    <w:rsid w:val="D0EF9127"/>
    <w:rsid w:val="D1FD2970"/>
    <w:rsid w:val="D26F5F8E"/>
    <w:rsid w:val="D3DF42DD"/>
    <w:rsid w:val="D447D36B"/>
    <w:rsid w:val="D4CE1DAE"/>
    <w:rsid w:val="D57E388E"/>
    <w:rsid w:val="D5D7DB68"/>
    <w:rsid w:val="D5EDF1C4"/>
    <w:rsid w:val="D65A2C14"/>
    <w:rsid w:val="D67D2589"/>
    <w:rsid w:val="D6B63F26"/>
    <w:rsid w:val="D6FEC41F"/>
    <w:rsid w:val="D73F8F4A"/>
    <w:rsid w:val="D767C7C7"/>
    <w:rsid w:val="D7744FBE"/>
    <w:rsid w:val="D77F47FC"/>
    <w:rsid w:val="D7BE2C95"/>
    <w:rsid w:val="D7F61A29"/>
    <w:rsid w:val="D7FB2C2F"/>
    <w:rsid w:val="D7FFC0CE"/>
    <w:rsid w:val="D8DE45EA"/>
    <w:rsid w:val="D8F5D42C"/>
    <w:rsid w:val="D9BF5517"/>
    <w:rsid w:val="DA4EB5A9"/>
    <w:rsid w:val="DA5B81D4"/>
    <w:rsid w:val="DA6D2961"/>
    <w:rsid w:val="DAAAA528"/>
    <w:rsid w:val="DAFDF3F4"/>
    <w:rsid w:val="DB2E71FF"/>
    <w:rsid w:val="DB7E1CAE"/>
    <w:rsid w:val="DBBACC5F"/>
    <w:rsid w:val="DBBF57B9"/>
    <w:rsid w:val="DBD7B48E"/>
    <w:rsid w:val="DBEBD01A"/>
    <w:rsid w:val="DBEFBBE3"/>
    <w:rsid w:val="DBF7DE32"/>
    <w:rsid w:val="DBF9E48C"/>
    <w:rsid w:val="DBFB6EB7"/>
    <w:rsid w:val="DBFF5585"/>
    <w:rsid w:val="DCBF91B3"/>
    <w:rsid w:val="DD3DE334"/>
    <w:rsid w:val="DD533133"/>
    <w:rsid w:val="DD57D79E"/>
    <w:rsid w:val="DD79C168"/>
    <w:rsid w:val="DDBB0CFE"/>
    <w:rsid w:val="DDBBD7B6"/>
    <w:rsid w:val="DDD1DD2C"/>
    <w:rsid w:val="DDD9A5B9"/>
    <w:rsid w:val="DDEDF154"/>
    <w:rsid w:val="DDEF9533"/>
    <w:rsid w:val="DDF521D6"/>
    <w:rsid w:val="DDF70AE0"/>
    <w:rsid w:val="DDFA2353"/>
    <w:rsid w:val="DDFB377C"/>
    <w:rsid w:val="DDFC6AE9"/>
    <w:rsid w:val="DDFF2D38"/>
    <w:rsid w:val="DE5EE993"/>
    <w:rsid w:val="DE7230EA"/>
    <w:rsid w:val="DE73D640"/>
    <w:rsid w:val="DE7F1FEA"/>
    <w:rsid w:val="DE7FD3C3"/>
    <w:rsid w:val="DEB9C704"/>
    <w:rsid w:val="DEBBD413"/>
    <w:rsid w:val="DEBFF1D5"/>
    <w:rsid w:val="DEDD4300"/>
    <w:rsid w:val="DEDFACC2"/>
    <w:rsid w:val="DEFF2906"/>
    <w:rsid w:val="DF2534D6"/>
    <w:rsid w:val="DF3F05BA"/>
    <w:rsid w:val="DF47E0FD"/>
    <w:rsid w:val="DF5F8A97"/>
    <w:rsid w:val="DF7A6EEC"/>
    <w:rsid w:val="DF7B3B4F"/>
    <w:rsid w:val="DF7EF1EC"/>
    <w:rsid w:val="DF7FB8D7"/>
    <w:rsid w:val="DF8ECCA1"/>
    <w:rsid w:val="DFAD9E7F"/>
    <w:rsid w:val="DFAFC91C"/>
    <w:rsid w:val="DFB7D8BD"/>
    <w:rsid w:val="DFBF74C6"/>
    <w:rsid w:val="DFDD7E24"/>
    <w:rsid w:val="DFDEFC36"/>
    <w:rsid w:val="DFDF32BF"/>
    <w:rsid w:val="DFE3317A"/>
    <w:rsid w:val="DFE3931D"/>
    <w:rsid w:val="DFEB0065"/>
    <w:rsid w:val="DFED24F6"/>
    <w:rsid w:val="DFEDC09D"/>
    <w:rsid w:val="DFEF9302"/>
    <w:rsid w:val="DFEFA441"/>
    <w:rsid w:val="DFEFFEB3"/>
    <w:rsid w:val="DFF1E579"/>
    <w:rsid w:val="DFF3A443"/>
    <w:rsid w:val="DFF4945E"/>
    <w:rsid w:val="DFF52C86"/>
    <w:rsid w:val="DFF5BD82"/>
    <w:rsid w:val="DFF717EE"/>
    <w:rsid w:val="DFFA0117"/>
    <w:rsid w:val="DFFBB2C0"/>
    <w:rsid w:val="DFFE4A08"/>
    <w:rsid w:val="DFFE944C"/>
    <w:rsid w:val="DFFFB920"/>
    <w:rsid w:val="DFFFBD3A"/>
    <w:rsid w:val="DFFFDBDE"/>
    <w:rsid w:val="E1FE9FA9"/>
    <w:rsid w:val="E2D37135"/>
    <w:rsid w:val="E2E5A77E"/>
    <w:rsid w:val="E3FF3500"/>
    <w:rsid w:val="E47A8850"/>
    <w:rsid w:val="E5A78A2D"/>
    <w:rsid w:val="E5F46E0C"/>
    <w:rsid w:val="E67FDCBA"/>
    <w:rsid w:val="E69F4D88"/>
    <w:rsid w:val="E6A6D0FF"/>
    <w:rsid w:val="E6F30C02"/>
    <w:rsid w:val="E6FF8568"/>
    <w:rsid w:val="E6FFC99B"/>
    <w:rsid w:val="E73F2796"/>
    <w:rsid w:val="E75FEC85"/>
    <w:rsid w:val="E779359A"/>
    <w:rsid w:val="E79FB77C"/>
    <w:rsid w:val="E7D37C9F"/>
    <w:rsid w:val="E7DDD526"/>
    <w:rsid w:val="E7DFCD5A"/>
    <w:rsid w:val="E7F72842"/>
    <w:rsid w:val="E7F7BD4F"/>
    <w:rsid w:val="E7FBEAF2"/>
    <w:rsid w:val="E9D7D08E"/>
    <w:rsid w:val="EABEDBE9"/>
    <w:rsid w:val="EAC92F06"/>
    <w:rsid w:val="EAF69452"/>
    <w:rsid w:val="EAFE677A"/>
    <w:rsid w:val="EB5BF653"/>
    <w:rsid w:val="EB7FAEBC"/>
    <w:rsid w:val="EBB66EF3"/>
    <w:rsid w:val="EBBB2EB5"/>
    <w:rsid w:val="EBBDDFD1"/>
    <w:rsid w:val="EBCEF764"/>
    <w:rsid w:val="EBEA7F0D"/>
    <w:rsid w:val="EBEB4F2E"/>
    <w:rsid w:val="EBF7E7D8"/>
    <w:rsid w:val="EBFB3C39"/>
    <w:rsid w:val="EBFD0B22"/>
    <w:rsid w:val="EBFDA2AF"/>
    <w:rsid w:val="EBFF26F7"/>
    <w:rsid w:val="EBFFD0D1"/>
    <w:rsid w:val="EBFFF1C7"/>
    <w:rsid w:val="ECFB830D"/>
    <w:rsid w:val="ECFBEDFF"/>
    <w:rsid w:val="ECFDE393"/>
    <w:rsid w:val="ECFE69FC"/>
    <w:rsid w:val="ECFF975A"/>
    <w:rsid w:val="ED4B7812"/>
    <w:rsid w:val="ED5F283D"/>
    <w:rsid w:val="ED67572C"/>
    <w:rsid w:val="ED6E70F2"/>
    <w:rsid w:val="EDC8785F"/>
    <w:rsid w:val="EDDC6024"/>
    <w:rsid w:val="EDF26935"/>
    <w:rsid w:val="EDFDDBE9"/>
    <w:rsid w:val="EDFF7636"/>
    <w:rsid w:val="EDFFC975"/>
    <w:rsid w:val="EE7DBDD6"/>
    <w:rsid w:val="EE7F9A87"/>
    <w:rsid w:val="EE9BDA4D"/>
    <w:rsid w:val="EEBBC0D0"/>
    <w:rsid w:val="EED4694B"/>
    <w:rsid w:val="EEDF0C51"/>
    <w:rsid w:val="EEEDBA0F"/>
    <w:rsid w:val="EEEEA1E1"/>
    <w:rsid w:val="EEFF16AB"/>
    <w:rsid w:val="EEFF3345"/>
    <w:rsid w:val="EEFF3B37"/>
    <w:rsid w:val="EF374D36"/>
    <w:rsid w:val="EF3AFAC9"/>
    <w:rsid w:val="EF3FCB43"/>
    <w:rsid w:val="EF3FD6CB"/>
    <w:rsid w:val="EF57C4EB"/>
    <w:rsid w:val="EF5B55BA"/>
    <w:rsid w:val="EF6E41D0"/>
    <w:rsid w:val="EF6FBFF3"/>
    <w:rsid w:val="EF77CCC0"/>
    <w:rsid w:val="EF857295"/>
    <w:rsid w:val="EF9BD059"/>
    <w:rsid w:val="EFA7DA5B"/>
    <w:rsid w:val="EFA8978D"/>
    <w:rsid w:val="EFBB896D"/>
    <w:rsid w:val="EFD7B0F2"/>
    <w:rsid w:val="EFDBC4E0"/>
    <w:rsid w:val="EFDE5E02"/>
    <w:rsid w:val="EFDEF5BD"/>
    <w:rsid w:val="EFDF5B64"/>
    <w:rsid w:val="EFED5739"/>
    <w:rsid w:val="EFEF196F"/>
    <w:rsid w:val="EFEF25A5"/>
    <w:rsid w:val="EFF303BF"/>
    <w:rsid w:val="EFF8DD73"/>
    <w:rsid w:val="EFFA9B3C"/>
    <w:rsid w:val="EFFB3580"/>
    <w:rsid w:val="EFFB496D"/>
    <w:rsid w:val="EFFBBD05"/>
    <w:rsid w:val="EFFBE142"/>
    <w:rsid w:val="EFFD19FC"/>
    <w:rsid w:val="EFFFB4B9"/>
    <w:rsid w:val="F05D1033"/>
    <w:rsid w:val="F11517CE"/>
    <w:rsid w:val="F17EA3B1"/>
    <w:rsid w:val="F1F77861"/>
    <w:rsid w:val="F1FB6A60"/>
    <w:rsid w:val="F1FE8268"/>
    <w:rsid w:val="F29FB05D"/>
    <w:rsid w:val="F2BE3B72"/>
    <w:rsid w:val="F2EEA66F"/>
    <w:rsid w:val="F37912F3"/>
    <w:rsid w:val="F3ADA3B4"/>
    <w:rsid w:val="F3BAD571"/>
    <w:rsid w:val="F3BDEDB2"/>
    <w:rsid w:val="F3C58930"/>
    <w:rsid w:val="F3D7C97D"/>
    <w:rsid w:val="F3E7D78B"/>
    <w:rsid w:val="F3F74EA5"/>
    <w:rsid w:val="F3FB6A8B"/>
    <w:rsid w:val="F3FF0130"/>
    <w:rsid w:val="F3FF2F84"/>
    <w:rsid w:val="F437C125"/>
    <w:rsid w:val="F43D05D4"/>
    <w:rsid w:val="F49D5DDC"/>
    <w:rsid w:val="F4FEAB5C"/>
    <w:rsid w:val="F525F02E"/>
    <w:rsid w:val="F57B6680"/>
    <w:rsid w:val="F59C65DF"/>
    <w:rsid w:val="F5D36D2A"/>
    <w:rsid w:val="F5DE0EE3"/>
    <w:rsid w:val="F653CCDC"/>
    <w:rsid w:val="F6578536"/>
    <w:rsid w:val="F6790084"/>
    <w:rsid w:val="F67E38F6"/>
    <w:rsid w:val="F6BF5B96"/>
    <w:rsid w:val="F6BFBE4D"/>
    <w:rsid w:val="F6CE4E4E"/>
    <w:rsid w:val="F6D7E5D9"/>
    <w:rsid w:val="F6EFB092"/>
    <w:rsid w:val="F6EFB257"/>
    <w:rsid w:val="F6F7C94F"/>
    <w:rsid w:val="F6F9D5CA"/>
    <w:rsid w:val="F6FE6A17"/>
    <w:rsid w:val="F6FF488F"/>
    <w:rsid w:val="F716B926"/>
    <w:rsid w:val="F73AC6F0"/>
    <w:rsid w:val="F747975F"/>
    <w:rsid w:val="F74F7FB6"/>
    <w:rsid w:val="F75FD8C4"/>
    <w:rsid w:val="F75FE4EF"/>
    <w:rsid w:val="F774C1DF"/>
    <w:rsid w:val="F777F1B0"/>
    <w:rsid w:val="F77BB4E3"/>
    <w:rsid w:val="F78D8605"/>
    <w:rsid w:val="F79484BF"/>
    <w:rsid w:val="F79F6775"/>
    <w:rsid w:val="F79FEFAC"/>
    <w:rsid w:val="F7A68390"/>
    <w:rsid w:val="F7ADDE22"/>
    <w:rsid w:val="F7B34429"/>
    <w:rsid w:val="F7B5827C"/>
    <w:rsid w:val="F7BB7730"/>
    <w:rsid w:val="F7BBFD43"/>
    <w:rsid w:val="F7BF3AD9"/>
    <w:rsid w:val="F7CE945B"/>
    <w:rsid w:val="F7D4891E"/>
    <w:rsid w:val="F7D52CC1"/>
    <w:rsid w:val="F7DA4A57"/>
    <w:rsid w:val="F7DF30AF"/>
    <w:rsid w:val="F7DF6B3E"/>
    <w:rsid w:val="F7DFA64E"/>
    <w:rsid w:val="F7DFBF03"/>
    <w:rsid w:val="F7DFE7E5"/>
    <w:rsid w:val="F7EF41A4"/>
    <w:rsid w:val="F7EFFF81"/>
    <w:rsid w:val="F7F56228"/>
    <w:rsid w:val="F7F58A06"/>
    <w:rsid w:val="F7F6DAFD"/>
    <w:rsid w:val="F7FD6607"/>
    <w:rsid w:val="F7FF03BA"/>
    <w:rsid w:val="F7FF2E06"/>
    <w:rsid w:val="F7FF7B19"/>
    <w:rsid w:val="F7FF8C85"/>
    <w:rsid w:val="F7FFEF0B"/>
    <w:rsid w:val="F8BBD4F8"/>
    <w:rsid w:val="F8C6B4B1"/>
    <w:rsid w:val="F8DEB769"/>
    <w:rsid w:val="F8EF7592"/>
    <w:rsid w:val="F8F5C978"/>
    <w:rsid w:val="F8FE7024"/>
    <w:rsid w:val="F9F4457B"/>
    <w:rsid w:val="F9FA3637"/>
    <w:rsid w:val="F9FBFAA9"/>
    <w:rsid w:val="F9FF27A8"/>
    <w:rsid w:val="FA1BA04F"/>
    <w:rsid w:val="FA3F79C1"/>
    <w:rsid w:val="FA7D26A6"/>
    <w:rsid w:val="FABBCABC"/>
    <w:rsid w:val="FACE5F48"/>
    <w:rsid w:val="FADE60A2"/>
    <w:rsid w:val="FADFD6C0"/>
    <w:rsid w:val="FAEEADA2"/>
    <w:rsid w:val="FAF3D6D0"/>
    <w:rsid w:val="FB2E5717"/>
    <w:rsid w:val="FB3D04CB"/>
    <w:rsid w:val="FB3F53DE"/>
    <w:rsid w:val="FB590872"/>
    <w:rsid w:val="FB779288"/>
    <w:rsid w:val="FB7A9E0F"/>
    <w:rsid w:val="FB7E1B58"/>
    <w:rsid w:val="FB9F4AD3"/>
    <w:rsid w:val="FB9FAF53"/>
    <w:rsid w:val="FB9FE940"/>
    <w:rsid w:val="FBA71F58"/>
    <w:rsid w:val="FBAC1026"/>
    <w:rsid w:val="FBAC74B7"/>
    <w:rsid w:val="FBB5F171"/>
    <w:rsid w:val="FBB924A2"/>
    <w:rsid w:val="FBBB41E7"/>
    <w:rsid w:val="FBBFA0E6"/>
    <w:rsid w:val="FBC6DE5A"/>
    <w:rsid w:val="FBCEB642"/>
    <w:rsid w:val="FBD329A9"/>
    <w:rsid w:val="FBE979F5"/>
    <w:rsid w:val="FBEB2281"/>
    <w:rsid w:val="FBEF17A1"/>
    <w:rsid w:val="FBEF334E"/>
    <w:rsid w:val="FBEF3C22"/>
    <w:rsid w:val="FBEFA363"/>
    <w:rsid w:val="FBEFF5B8"/>
    <w:rsid w:val="FBF3B877"/>
    <w:rsid w:val="FBF5F553"/>
    <w:rsid w:val="FBF64456"/>
    <w:rsid w:val="FBF6F52B"/>
    <w:rsid w:val="FBF76675"/>
    <w:rsid w:val="FBF7E93A"/>
    <w:rsid w:val="FBF9DD24"/>
    <w:rsid w:val="FBFB4667"/>
    <w:rsid w:val="FBFC3EA8"/>
    <w:rsid w:val="FBFD165D"/>
    <w:rsid w:val="FBFF0116"/>
    <w:rsid w:val="FBFF4B41"/>
    <w:rsid w:val="FC3D3DF9"/>
    <w:rsid w:val="FC7B3941"/>
    <w:rsid w:val="FC7F3E78"/>
    <w:rsid w:val="FCBF0681"/>
    <w:rsid w:val="FCEB0ADC"/>
    <w:rsid w:val="FCFDB45B"/>
    <w:rsid w:val="FCFDD269"/>
    <w:rsid w:val="FD0B2A45"/>
    <w:rsid w:val="FD2341AE"/>
    <w:rsid w:val="FD3EE038"/>
    <w:rsid w:val="FD3F54F4"/>
    <w:rsid w:val="FD5F8C6F"/>
    <w:rsid w:val="FD752D6A"/>
    <w:rsid w:val="FD757049"/>
    <w:rsid w:val="FD77C0BA"/>
    <w:rsid w:val="FD7F1D4A"/>
    <w:rsid w:val="FD7F449E"/>
    <w:rsid w:val="FD9767D7"/>
    <w:rsid w:val="FD9BF463"/>
    <w:rsid w:val="FDACD430"/>
    <w:rsid w:val="FDBAEACA"/>
    <w:rsid w:val="FDBB3B34"/>
    <w:rsid w:val="FDBF12B3"/>
    <w:rsid w:val="FDBF89D3"/>
    <w:rsid w:val="FDD24B01"/>
    <w:rsid w:val="FDD4B5F2"/>
    <w:rsid w:val="FDDBA815"/>
    <w:rsid w:val="FDDD4575"/>
    <w:rsid w:val="FDDE2C61"/>
    <w:rsid w:val="FDDE86D4"/>
    <w:rsid w:val="FDDE9AC1"/>
    <w:rsid w:val="FDDEB894"/>
    <w:rsid w:val="FDDFD23A"/>
    <w:rsid w:val="FDE138AD"/>
    <w:rsid w:val="FDF37D08"/>
    <w:rsid w:val="FDF50F7A"/>
    <w:rsid w:val="FDF643B4"/>
    <w:rsid w:val="FDF760DC"/>
    <w:rsid w:val="FDF7D648"/>
    <w:rsid w:val="FDFBD067"/>
    <w:rsid w:val="FDFC0961"/>
    <w:rsid w:val="FDFE0401"/>
    <w:rsid w:val="FDFE3FA2"/>
    <w:rsid w:val="FDFE8C93"/>
    <w:rsid w:val="FDFE9964"/>
    <w:rsid w:val="FDFF07ED"/>
    <w:rsid w:val="FDFFB252"/>
    <w:rsid w:val="FDFFCBFD"/>
    <w:rsid w:val="FE3BFE21"/>
    <w:rsid w:val="FE4FF8AC"/>
    <w:rsid w:val="FE5FE50C"/>
    <w:rsid w:val="FE6E4721"/>
    <w:rsid w:val="FE775420"/>
    <w:rsid w:val="FE791D04"/>
    <w:rsid w:val="FE7B1E9D"/>
    <w:rsid w:val="FE7B5733"/>
    <w:rsid w:val="FE7E3E3D"/>
    <w:rsid w:val="FE9638B9"/>
    <w:rsid w:val="FE966E21"/>
    <w:rsid w:val="FE9E206B"/>
    <w:rsid w:val="FEABA9D0"/>
    <w:rsid w:val="FEBE1D67"/>
    <w:rsid w:val="FEBF5B63"/>
    <w:rsid w:val="FECDD579"/>
    <w:rsid w:val="FECF4315"/>
    <w:rsid w:val="FECF5227"/>
    <w:rsid w:val="FED4B4E8"/>
    <w:rsid w:val="FED6C073"/>
    <w:rsid w:val="FED7C8C6"/>
    <w:rsid w:val="FEE57FE4"/>
    <w:rsid w:val="FEE5A126"/>
    <w:rsid w:val="FEEB8B8A"/>
    <w:rsid w:val="FEEBB6DE"/>
    <w:rsid w:val="FEEE214E"/>
    <w:rsid w:val="FEEF0443"/>
    <w:rsid w:val="FEEFD793"/>
    <w:rsid w:val="FEF65DF4"/>
    <w:rsid w:val="FEF6D910"/>
    <w:rsid w:val="FEF7DEE3"/>
    <w:rsid w:val="FEFAA542"/>
    <w:rsid w:val="FEFC132F"/>
    <w:rsid w:val="FEFD41CC"/>
    <w:rsid w:val="FEFE4988"/>
    <w:rsid w:val="FEFE6A52"/>
    <w:rsid w:val="FEFF25C7"/>
    <w:rsid w:val="FEFF6857"/>
    <w:rsid w:val="FEFF808F"/>
    <w:rsid w:val="FEFF90E1"/>
    <w:rsid w:val="FEFFC144"/>
    <w:rsid w:val="FF1F480D"/>
    <w:rsid w:val="FF1F5D4C"/>
    <w:rsid w:val="FF3108C2"/>
    <w:rsid w:val="FF378051"/>
    <w:rsid w:val="FF37C667"/>
    <w:rsid w:val="FF3B0A4B"/>
    <w:rsid w:val="FF3B1EC0"/>
    <w:rsid w:val="FF3C12E2"/>
    <w:rsid w:val="FF3E99A5"/>
    <w:rsid w:val="FF4D7B16"/>
    <w:rsid w:val="FF572266"/>
    <w:rsid w:val="FF57F35F"/>
    <w:rsid w:val="FF5D2C88"/>
    <w:rsid w:val="FF5FD26C"/>
    <w:rsid w:val="FF634BA1"/>
    <w:rsid w:val="FF6F6979"/>
    <w:rsid w:val="FF6F6CA2"/>
    <w:rsid w:val="FF6FE844"/>
    <w:rsid w:val="FF71E5E8"/>
    <w:rsid w:val="FF75DEF1"/>
    <w:rsid w:val="FF76863A"/>
    <w:rsid w:val="FF78FF3B"/>
    <w:rsid w:val="FF7D6499"/>
    <w:rsid w:val="FF7F2287"/>
    <w:rsid w:val="FF7F23CC"/>
    <w:rsid w:val="FF7FEB39"/>
    <w:rsid w:val="FF870A84"/>
    <w:rsid w:val="FF8D5D1E"/>
    <w:rsid w:val="FF8F38B3"/>
    <w:rsid w:val="FF9F86C1"/>
    <w:rsid w:val="FFA73204"/>
    <w:rsid w:val="FFAB29DE"/>
    <w:rsid w:val="FFAE3D4A"/>
    <w:rsid w:val="FFAFB07C"/>
    <w:rsid w:val="FFB60024"/>
    <w:rsid w:val="FFB86505"/>
    <w:rsid w:val="FFB9B2E6"/>
    <w:rsid w:val="FFBB7858"/>
    <w:rsid w:val="FFBF520D"/>
    <w:rsid w:val="FFBF668C"/>
    <w:rsid w:val="FFBFBB2B"/>
    <w:rsid w:val="FFBFE970"/>
    <w:rsid w:val="FFC2BA1F"/>
    <w:rsid w:val="FFC77F00"/>
    <w:rsid w:val="FFD32C38"/>
    <w:rsid w:val="FFD37369"/>
    <w:rsid w:val="FFD72577"/>
    <w:rsid w:val="FFD7F2C0"/>
    <w:rsid w:val="FFDB6B4E"/>
    <w:rsid w:val="FFDD5FAF"/>
    <w:rsid w:val="FFDD6574"/>
    <w:rsid w:val="FFDF2981"/>
    <w:rsid w:val="FFDF7F1F"/>
    <w:rsid w:val="FFDF93E2"/>
    <w:rsid w:val="FFDFB430"/>
    <w:rsid w:val="FFDFCD43"/>
    <w:rsid w:val="FFDFDBEC"/>
    <w:rsid w:val="FFE45F3B"/>
    <w:rsid w:val="FFE6303A"/>
    <w:rsid w:val="FFE68F44"/>
    <w:rsid w:val="FFED553B"/>
    <w:rsid w:val="FFED61B7"/>
    <w:rsid w:val="FFEE5562"/>
    <w:rsid w:val="FFEF4494"/>
    <w:rsid w:val="FFEFC619"/>
    <w:rsid w:val="FFEFFE03"/>
    <w:rsid w:val="FFF3DCD0"/>
    <w:rsid w:val="FFF5575A"/>
    <w:rsid w:val="FFF5ACE2"/>
    <w:rsid w:val="FFF5FD93"/>
    <w:rsid w:val="FFF5FE28"/>
    <w:rsid w:val="FFF7CE97"/>
    <w:rsid w:val="FFFBDB76"/>
    <w:rsid w:val="FFFD0704"/>
    <w:rsid w:val="FFFD0FAF"/>
    <w:rsid w:val="FFFD73ED"/>
    <w:rsid w:val="FFFD788D"/>
    <w:rsid w:val="FFFE34C3"/>
    <w:rsid w:val="FFFE7CE5"/>
    <w:rsid w:val="FFFEF6F8"/>
    <w:rsid w:val="FFFF1943"/>
    <w:rsid w:val="FFFF2293"/>
    <w:rsid w:val="FFFF472E"/>
    <w:rsid w:val="FFFF7D2D"/>
    <w:rsid w:val="FFFF8BA7"/>
    <w:rsid w:val="FFFFB2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WenQuanYi Micro Hei" w:hAnsi="WenQuanYi Micro Hei" w:eastAsia="WenQuanYi Micro Hei" w:cs="WenQuanYi Micro 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WenQuanYi Micro Hei" w:hAnsi="WenQuanYi Micro Hei" w:eastAsia="WenQuanYi Micro Hei" w:cs="WenQuanYi Micro Hei"/>
      <w:sz w:val="24"/>
      <w:szCs w:val="24"/>
    </w:rPr>
  </w:style>
  <w:style w:type="paragraph" w:styleId="2">
    <w:name w:val="heading 1"/>
    <w:next w:val="1"/>
    <w:qFormat/>
    <w:uiPriority w:val="0"/>
    <w:pPr>
      <w:spacing w:before="360" w:after="240"/>
      <w:outlineLvl w:val="0"/>
    </w:pPr>
    <w:rPr>
      <w:rFonts w:ascii="WenQuanYi Micro Hei" w:hAnsi="WenQuanYi Micro Hei" w:eastAsia="WenQuanYi Micro Hei" w:cs="WenQuanYi Micro Hei"/>
      <w:b/>
      <w:bCs/>
      <w:sz w:val="36"/>
      <w:szCs w:val="36"/>
    </w:rPr>
  </w:style>
  <w:style w:type="paragraph" w:styleId="3">
    <w:name w:val="heading 2"/>
    <w:next w:val="1"/>
    <w:qFormat/>
    <w:uiPriority w:val="0"/>
    <w:pPr>
      <w:spacing w:before="300" w:after="180"/>
      <w:outlineLvl w:val="1"/>
    </w:pPr>
    <w:rPr>
      <w:rFonts w:ascii="WenQuanYi Micro Hei" w:hAnsi="WenQuanYi Micro Hei" w:eastAsia="WenQuanYi Micro Hei" w:cs="WenQuanYi Micro Hei"/>
      <w:b/>
      <w:bCs/>
      <w:sz w:val="30"/>
      <w:szCs w:val="30"/>
    </w:rPr>
  </w:style>
  <w:style w:type="paragraph" w:styleId="4">
    <w:name w:val="heading 3"/>
    <w:next w:val="1"/>
    <w:qFormat/>
    <w:uiPriority w:val="0"/>
    <w:pPr>
      <w:spacing w:before="240" w:after="120"/>
      <w:outlineLvl w:val="2"/>
    </w:pPr>
    <w:rPr>
      <w:rFonts w:ascii="WenQuanYi Micro Hei" w:hAnsi="WenQuanYi Micro Hei" w:eastAsia="WenQuanYi Micro Hei" w:cs="WenQuanYi Micro Hei"/>
      <w:b/>
      <w:bCs/>
      <w:sz w:val="28"/>
      <w:szCs w:val="28"/>
    </w:rPr>
  </w:style>
  <w:style w:type="paragraph" w:styleId="5">
    <w:name w:val="heading 4"/>
    <w:next w:val="1"/>
    <w:qFormat/>
    <w:uiPriority w:val="0"/>
    <w:rPr>
      <w:rFonts w:ascii="WenQuanYi Micro Hei" w:hAnsi="WenQuanYi Micro Hei" w:eastAsia="WenQuanYi Micro Hei" w:cs="WenQuanYi Micro Hei"/>
      <w:i/>
      <w:iCs/>
      <w:color w:val="2E74B5"/>
      <w:sz w:val="24"/>
      <w:szCs w:val="24"/>
    </w:rPr>
  </w:style>
  <w:style w:type="paragraph" w:styleId="6">
    <w:name w:val="heading 5"/>
    <w:next w:val="1"/>
    <w:qFormat/>
    <w:uiPriority w:val="0"/>
    <w:rPr>
      <w:rFonts w:ascii="WenQuanYi Micro Hei" w:hAnsi="WenQuanYi Micro Hei" w:eastAsia="WenQuanYi Micro Hei" w:cs="WenQuanYi Micro Hei"/>
      <w:color w:val="2E74B5"/>
      <w:sz w:val="24"/>
      <w:szCs w:val="24"/>
    </w:rPr>
  </w:style>
  <w:style w:type="paragraph" w:styleId="7">
    <w:name w:val="heading 6"/>
    <w:next w:val="1"/>
    <w:qFormat/>
    <w:uiPriority w:val="0"/>
    <w:rPr>
      <w:rFonts w:ascii="WenQuanYi Micro Hei" w:hAnsi="WenQuanYi Micro Hei" w:eastAsia="WenQuanYi Micro Hei" w:cs="WenQuanYi Micro Hei"/>
      <w:color w:val="1F4D78"/>
      <w:sz w:val="24"/>
      <w:szCs w:val="24"/>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semiHidden/>
    <w:unhideWhenUsed/>
    <w:qFormat/>
    <w:uiPriority w:val="99"/>
    <w:pPr>
      <w:spacing w:after="0" w:line="240" w:lineRule="auto"/>
    </w:pPr>
    <w:rPr>
      <w:rFonts w:ascii="WenQuanYi Micro Hei" w:hAnsi="WenQuanYi Micro Hei" w:eastAsia="WenQuanYi Micro Hei" w:cs="WenQuanYi Micro Hei"/>
      <w:sz w:val="20"/>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link w:val="19"/>
    <w:semiHidden/>
    <w:unhideWhenUsed/>
    <w:qFormat/>
    <w:uiPriority w:val="99"/>
    <w:pPr>
      <w:spacing w:after="0" w:line="240" w:lineRule="auto"/>
    </w:pPr>
    <w:rPr>
      <w:rFonts w:ascii="WenQuanYi Micro Hei" w:hAnsi="WenQuanYi Micro Hei" w:eastAsia="WenQuanYi Micro Hei" w:cs="WenQuanYi Micro Hei"/>
      <w:sz w:val="20"/>
      <w:szCs w:val="20"/>
    </w:rPr>
  </w:style>
  <w:style w:type="paragraph" w:styleId="12">
    <w:name w:val="Title"/>
    <w:qFormat/>
    <w:uiPriority w:val="0"/>
    <w:rPr>
      <w:rFonts w:ascii="WenQuanYi Micro Hei" w:hAnsi="WenQuanYi Micro Hei" w:eastAsia="WenQuanYi Micro Hei" w:cs="WenQuanYi Micro Hei"/>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rPr>
      <w:rFonts w:ascii="WenQuanYi Micro Hei" w:hAnsi="WenQuanYi Micro Hei" w:eastAsia="WenQuanYi Micro Hei" w:cs="WenQuanYi Micro Hei"/>
      <w:sz w:val="24"/>
      <w:szCs w:val="24"/>
    </w:rPr>
  </w:style>
  <w:style w:type="character" w:customStyle="1" w:styleId="19">
    <w:name w:val="Footnote Text Char"/>
    <w:link w:val="11"/>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os/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Office_11.8.2.10386_F1E327BC-269C-435d-A152-05C5408002CA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1900-01-00T00:00:00Z</dcterms:created>
  <dc:creator>Un-named</dc:creator>
  <cp:lastModifiedBy>uos</cp:lastModifiedBy>
  <dcterms:modified xsi:type="dcterms:W3CDTF">2026-09-10T16:48:55Z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{"Label":"1","ContentProducer":"001191440300708461136T1WFUO","ProduceID":"db6d3c911c4f654a3034d8a07c5a0375-CSRV","ReservedCode1":"{\"Type\":\" TC260PG\",\"Version\":1,\"Bindings\":[{\"Type\":\"soft\",\"AlgID\":\"sm3\",\"Value\":\"acbd3f5b998606f99b7f68e580d5031cabb6ce4235c8bc36000e6acdae640a81\"},{\"Type\":\"hash\",\"AlgID\":\"sm3\",\"Value\":\"78bc732aa43af0533cbdbeb5ccaceff7500c82bbdf2aecd189ee11a8f1762be2\"}],\"PubSD\":[{\"Type\":\"DS\",\"AlgID\":\"sm2\",\"TBSData\":{\"Type\":\"Binding\",\"BType\":\"hash\"},\"Signature\":\"3045022100fa44e2287eba792d3fe5f250f2bb0f01754473b094c9480e4bff6d8adf1da68d0220748789f872e93ecdc6c101a5a639846f0f9d409e3bdb451bd35dc346e9081ab2\"},{\"Type\":\"PubKey\",\"AlgID\":\"sm2\",\"KeyValue\":\"0407f79b28a17a752b3aae4305c98b48978213832729a2571850b1310b2bc9fe8fee039ccf25ebfeac27502414d9fcef792d777183c98893d226171c2f7a3289a2\"}],\"Extension\":{\"Timestamp\":1785223980,\"KeyVersion\":\"v1-TxLeOmf7bqU223\"}}","ContentPropagator":"001191440300708461136T1WFUO","PropagateID":"db6d3c911c4f654a3034d8a07c5a0375-CSRV","ReservedCode2":"{\"Type\":\" TC260PG\",\"Version\":1,\"Bindings\":[{\"Type\":\"soft\",\"AlgID\":\"sm3\",\"Value\":\"acbd3f5b998606f99b7f68e580d5031cabb6ce4235c8bc36000e6acdae640a81\"},{\"Type\":\"hash\",\"AlgID\":\"sm3\",\"Value\":\"78bc732aa43af0533cbdbeb5ccaceff7500c82bbdf2aecd189ee11a8f1762be2\"}],\"PubSD\":[{\"Type\":\"DS\",\"AlgID\":\"sm2\",\"TBSData\":{\"Type\":\"Binding\",\"BType\":\"hash\"},\"Signature\":\"304502204e89b520b959ca647d2cb68f01e75f72401934f1f2b0e1b559fe5cbbec803f0c022100a700ce74b7b70a54d6821b60bdbb6eb1898e5726de1590695f4f5a8c91ab9b67\"},{\"Type\":\"PubKey\",\"AlgID\":\"sm2\",\"KeyValue\":\"0407f79b28a17a752b3aae4305c98b48978213832729a2571850b1310b2bc9fe8fee039ccf25ebfeac27502414d9fcef792d777183c98893d226171c2f7a3289a2\"}],\"Extension\":{\"Timestamp\":1785223980,\"KeyVersion\":\"v1-TxLeOmf7bqU223\"}}"}</vt:lpwstr>
  </property>
  <property fmtid="{D5CDD505-2E9C-101B-9397-08002B2CF9AE}" pid="3" name="KSOProductBuildVer">
    <vt:lpwstr>2052-11.8.2.10386</vt:lpwstr>
  </property>
</Properties>
</file>