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CCB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 w:cs="Times New Roman"/>
          <w:b/>
          <w:bCs/>
          <w:sz w:val="44"/>
          <w:szCs w:val="44"/>
          <w:lang w:eastAsia="zh-CN"/>
        </w:rPr>
      </w:pPr>
      <w:r>
        <w:rPr>
          <w:rFonts w:hint="default" w:ascii="Times New Roman" w:hAnsi="Times New Roman" w:eastAsia="方正小标宋" w:cs="Times New Roman"/>
          <w:b/>
          <w:bCs/>
          <w:sz w:val="44"/>
          <w:szCs w:val="44"/>
        </w:rPr>
        <w:t>Комитет по здравоохранению города Санья</w:t>
      </w:r>
    </w:p>
    <w:p w14:paraId="265DBE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 w:cs="Times New Roman"/>
          <w:b/>
          <w:bCs/>
          <w:sz w:val="44"/>
          <w:szCs w:val="44"/>
        </w:rPr>
      </w:pPr>
      <w:r>
        <w:rPr>
          <w:rFonts w:hint="default" w:ascii="Times New Roman" w:hAnsi="Times New Roman" w:eastAsia="方正小标宋" w:cs="Times New Roman"/>
          <w:b/>
          <w:bCs/>
          <w:sz w:val="44"/>
          <w:szCs w:val="44"/>
        </w:rPr>
        <w:t>Ответное письмо о работе по рассмотрению жалоб и специальных мероприятиях</w:t>
      </w:r>
      <w:r>
        <w:rPr>
          <w:rFonts w:hint="eastAsia" w:ascii="Times New Roman" w:hAnsi="Times New Roman" w:eastAsia="方正小标宋" w:cs="Times New Roman"/>
          <w:b/>
          <w:bCs/>
          <w:sz w:val="44"/>
          <w:szCs w:val="44"/>
          <w:lang w:val="en-US" w:eastAsia="zh-CN"/>
        </w:rPr>
        <w:t xml:space="preserve"> </w:t>
      </w:r>
      <w:r>
        <w:rPr>
          <w:rFonts w:hint="default" w:ascii="Times New Roman" w:hAnsi="Times New Roman" w:eastAsia="方正小标宋" w:cs="Times New Roman"/>
          <w:b/>
          <w:bCs/>
          <w:sz w:val="44"/>
          <w:szCs w:val="44"/>
        </w:rPr>
        <w:t>по наведению порядка в отношении медицинских и оздоровительных учреждений, связанных с туристической сферой</w:t>
      </w:r>
    </w:p>
    <w:p w14:paraId="46838C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 w:cs="Times New Roman"/>
          <w:b/>
          <w:bCs/>
          <w:sz w:val="44"/>
          <w:szCs w:val="44"/>
        </w:rPr>
      </w:pPr>
    </w:p>
    <w:p w14:paraId="2AABF5D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b w:val="0"/>
          <w:bCs w:val="0"/>
          <w:sz w:val="32"/>
          <w:szCs w:val="32"/>
        </w:rPr>
        <w:t>Канцелярии Руководящей группы по туристической работе города Санья</w:t>
      </w:r>
      <w:r>
        <w:rPr>
          <w:rFonts w:hint="default" w:ascii="Times New Roman" w:hAnsi="Times New Roman" w:eastAsia="仿宋_GB2312" w:cs="Times New Roman"/>
          <w:sz w:val="32"/>
          <w:szCs w:val="32"/>
          <w:lang w:val="en-US" w:eastAsia="zh-CN"/>
        </w:rPr>
        <w:t>:</w:t>
      </w:r>
    </w:p>
    <w:p w14:paraId="2DF9B5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27 марта 2026 года от провинциальной службы «12345» поступила жалоба, связанная с туристической сферой: группа из 6 туристов из Казахстана, получив услуги в «Тибетском медицинском оздоровительном центре» в отеле «Crowne Plaza Санья Бэй», посчитала стоимость услуг завышенной. В ходе проверки было установлено, что указанное учреждение фактически является клиникой традиционной китайской медицины «Санья Тянья Чжао Юн», расположенной в отеле «Sanya Jinghai International Holiday Hotel». Были выявлены следующие нарушения: отсутствие медицинской документации (журналов лечения), неупорядоченное обращение с медицинскими отходами, непрозрачность цен. Это обнажило явные пробелы в стандартах практики, отраслевом надзоре и обслуживании иностранных граждан в сфере медицинских и оздоровительных услуг, связанных с туризмом в городе Санья. В соответствии с указаниями руководства провинциального и городского комитетов партии, наш комитет незамедлительно совместно с Управлением комплексного административного правоприменения города, Управлением по культуре, радио, телевидению, спорту и туризму, Городским управлением по надзору за рынком и другими ведомствами провёл расследование и принял меры, а также развернул общеотраслевые </w:t>
      </w:r>
      <w:r>
        <w:rPr>
          <w:rFonts w:ascii="Times New Roman" w:hAnsi="Times New Roman" w:eastAsia="仿宋_GB2312" w:cs="Times New Roman"/>
          <w:b w:val="0"/>
          <w:bCs w:val="0"/>
          <w:sz w:val="32"/>
          <w:szCs w:val="32"/>
        </w:rPr>
        <w:t>специальные мероприятия по наведению порядка</w:t>
      </w:r>
      <w:r>
        <w:rPr>
          <w:rFonts w:hint="default" w:ascii="Times New Roman" w:hAnsi="Times New Roman" w:eastAsia="仿宋_GB2312" w:cs="Times New Roman"/>
          <w:sz w:val="32"/>
          <w:szCs w:val="32"/>
          <w:lang w:val="en-US" w:eastAsia="zh-CN"/>
        </w:rPr>
        <w:t>. Сообщаем о соответствующих обстоятельствах следующим образом:</w:t>
      </w:r>
    </w:p>
    <w:p w14:paraId="5BCDA051">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黑体" w:cs="Times New Roman"/>
          <w:sz w:val="36"/>
          <w:szCs w:val="36"/>
          <w:lang w:val="en-US" w:eastAsia="zh-CN"/>
        </w:rPr>
        <w:t>I. Основные проблемы, выявленные в ходе инцидента, и анализ причин</w:t>
      </w:r>
    </w:p>
    <w:p w14:paraId="59FB41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b/>
          <w:bCs/>
          <w:sz w:val="32"/>
          <w:szCs w:val="32"/>
        </w:rPr>
        <w:t xml:space="preserve">(I) </w:t>
      </w:r>
      <w:r>
        <w:rPr>
          <w:rFonts w:hint="default" w:ascii="Times New Roman" w:hAnsi="Times New Roman" w:eastAsia="楷体_GB2312" w:cs="Times New Roman"/>
          <w:b/>
          <w:bCs/>
          <w:sz w:val="32"/>
          <w:szCs w:val="32"/>
          <w:lang w:val="en-US" w:eastAsia="zh-CN"/>
        </w:rPr>
        <w:t>Основные проявления проблем</w:t>
      </w:r>
    </w:p>
    <w:p w14:paraId="1512CE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Во-первых, медицинское учреждение осуществляло деятельность с нарушением закона. В клинике традиционной китайской медицины «Санья Тянья Чжао Юн» отсутствовали амбулаторные журналы, рецепты и другие медицинские документы, нарушались правила обращения с медицинскими отходами, журналы дезинфекции были пустыми, хранение лекарств осуществлялось хаотично, что создавало серьёзные угрозы безопасности. Во-вторых, отсутствовало надлежащее информирование о ценах и обслуживание иностранных граждан. Цены не были указаны, иностранные туристы не имели доступа к информации о видах лечения и их стоимости, а языковой барьер усугублял потребительские споры. В-третьих, существовали зоны неконтролируемого надзора. Клиника традиционной китайской медицины «Санья Тянья Чжао Юн» и массажно-оздоровительный центр «Цзинхай Цзин» в отеле «Jinghai International Holiday Hotel»</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располагались в одной зоне; медицинская зона и зона немедицинского массажа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не были строго разделены; пересекались функции надзора нескольких ведомств, не хватало ресурсов для ежедневного контроля на районном уровне, а также отсутствовала скоординированность в ежедневных проверках, что затрудняло полный охват надзором.</w:t>
      </w:r>
    </w:p>
    <w:p w14:paraId="35A4C6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b/>
          <w:bCs/>
          <w:sz w:val="32"/>
          <w:szCs w:val="32"/>
        </w:rPr>
        <w:t>(II)</w:t>
      </w:r>
      <w:r>
        <w:rPr>
          <w:rFonts w:hint="default" w:ascii="Times New Roman" w:hAnsi="Times New Roman" w:eastAsia="楷体_GB2312" w:cs="Times New Roman"/>
          <w:b/>
          <w:bCs/>
          <w:sz w:val="32"/>
          <w:szCs w:val="32"/>
          <w:lang w:val="en-US" w:eastAsia="zh-CN"/>
        </w:rPr>
        <w:t xml:space="preserve"> Анализ причин</w:t>
      </w:r>
    </w:p>
    <w:p w14:paraId="3231A9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У затронутого учреждения слабо развито правосознание в ведении бизнеса, оно односторонне стремилось к экономической выгоде, а внутренние системы управления были неработоспособны; отраслевые стандарты надзора несовершенны, отсутствуют детализированные требования к практике клиник традиционной китайской медицины и массажно-оздоровительных центров; межведомственный механизм координации ещё не работает эффективно; необходимо улучшить механизмы обмена информацией между отелями, туризмом, здравоохранением и рыночным надзором; способность частных медицинских учреждений обслуживать иностранных граждан недостаточна, отсутствуют многоязычные указатели и механизмы быстрого разрешения жалоб.</w:t>
      </w:r>
    </w:p>
    <w:p w14:paraId="2B818C3C">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黑体" w:cs="Times New Roman"/>
          <w:sz w:val="36"/>
          <w:szCs w:val="36"/>
          <w:lang w:val="en-US" w:eastAsia="zh-CN"/>
        </w:rPr>
        <w:t>II. Основные проделанные работы и их результаты</w:t>
      </w:r>
    </w:p>
    <w:p w14:paraId="6BC251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b/>
          <w:bCs/>
          <w:sz w:val="32"/>
          <w:szCs w:val="32"/>
        </w:rPr>
        <w:t>(I)</w:t>
      </w:r>
      <w:r>
        <w:rPr>
          <w:rFonts w:hint="default" w:ascii="Times New Roman" w:hAnsi="Times New Roman" w:eastAsia="楷体_GB2312" w:cs="Times New Roman"/>
          <w:b/>
          <w:bCs/>
          <w:sz w:val="32"/>
          <w:szCs w:val="32"/>
          <w:lang w:val="en-US" w:eastAsia="zh-CN"/>
        </w:rPr>
        <w:t xml:space="preserve"> Немедленное закрытие учреждения и строгое наказание по закону</w:t>
      </w:r>
    </w:p>
    <w:p w14:paraId="3BE75A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После получения жалобы 27 марта 2026 года наш комитет совместно с Управлением комплексного административного правоприменения города, Управлением по культуре, радио, телевидению, спорту и туризму, Городским управлением по надзору за рынком и другими ведомствами выехал на место для проверки. Фактический оператор клиники «Санья Тянья Чжао Юн» госпожа Янь Юйлань устно сообщила, что с 5 человек было взято около 2100 юаней наличными. Утром 28 марта на клинику вновь поступила жалоба. Наш комитет совместно с Управлением по культуре, радио, телевидению, спорту и туризму установил, что клиника фактически взимала с 5 туристов плату за лечение в размере 30 000 юаней (оплата картой) и не смогла предоставить никакой документации о лечении. Днём 28 марта наш комитет поручил Комитету по здравоохранению района Тянья на законных основаниях приказать клинике приостановить работу для устранения нарушений, строго запретив любую медицинскую деятельность. </w:t>
      </w:r>
      <w:r>
        <w:rPr>
          <w:rFonts w:ascii="Times New Roman" w:hAnsi="Times New Roman" w:eastAsia="仿宋_GB2312" w:cs="Times New Roman"/>
          <w:b w:val="0"/>
          <w:bCs w:val="0"/>
          <w:sz w:val="32"/>
          <w:szCs w:val="32"/>
        </w:rPr>
        <w:t>Городской центр по контролю и профилактике заболеваний (Служба/Институт санитарного надзора)</w:t>
      </w:r>
      <w:r>
        <w:rPr>
          <w:rFonts w:hint="default" w:ascii="Times New Roman" w:hAnsi="Times New Roman" w:eastAsia="仿宋_GB2312" w:cs="Times New Roman"/>
          <w:sz w:val="32"/>
          <w:szCs w:val="32"/>
          <w:lang w:val="en-US" w:eastAsia="zh-CN"/>
        </w:rPr>
        <w:t xml:space="preserve"> уже возбудил расследование по фактам нарушений, таких как ненадлежащее оформление рецептов и неправильное обращение с медицинскими отходами, и применит наказание по всей строгости закона. Одновременно информация о нарушениях клиники была доведена до всеобщего сведения в отрасли с критикой; районному комитету здравоохранения поручено контролировать устранение нарушений, а повторное открытие возможно только после успешной совместной проверки несколькими ведомствами.</w:t>
      </w:r>
    </w:p>
    <w:p w14:paraId="1ACB94F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b/>
          <w:bCs/>
          <w:sz w:val="32"/>
          <w:szCs w:val="32"/>
        </w:rPr>
        <w:t>(II)</w:t>
      </w:r>
      <w:r>
        <w:rPr>
          <w:rFonts w:hint="default" w:ascii="Times New Roman" w:hAnsi="Times New Roman" w:eastAsia="楷体_GB2312" w:cs="Times New Roman"/>
          <w:b/>
          <w:bCs/>
          <w:sz w:val="32"/>
          <w:szCs w:val="32"/>
          <w:lang w:val="en-US" w:eastAsia="zh-CN"/>
        </w:rPr>
        <w:t xml:space="preserve"> Оперативный </w:t>
      </w:r>
      <w:r>
        <w:rPr>
          <w:rFonts w:ascii="Times New Roman" w:hAnsi="Times New Roman" w:eastAsia="楷体_GB2312" w:cs="Times New Roman"/>
          <w:b/>
          <w:bCs/>
          <w:sz w:val="32"/>
          <w:szCs w:val="32"/>
        </w:rPr>
        <w:t>специальные мероприятия по наведению порядка</w:t>
      </w:r>
      <w:r>
        <w:rPr>
          <w:rFonts w:hint="default" w:ascii="Times New Roman" w:hAnsi="Times New Roman" w:eastAsia="楷体_GB2312" w:cs="Times New Roman"/>
          <w:b/>
          <w:bCs/>
          <w:sz w:val="32"/>
          <w:szCs w:val="32"/>
          <w:lang w:val="en-US" w:eastAsia="zh-CN"/>
        </w:rPr>
        <w:t xml:space="preserve"> с охватом всех медицинских и оздоровительных учреждений, связанных с туризмом</w:t>
      </w:r>
    </w:p>
    <w:p w14:paraId="72E5D3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Днём 28 марта, по поручению руководства провинциального и городского комитетов партии, руководитель нашего комитета созвал совещание с участием Городского управления общественной безопасности, Городского управления по надзору за рынком, Городского управления комплексного правоприменения и других ведомств для обсуждения дела, а также совместно с комитетами здравоохранения районов </w:t>
      </w:r>
      <w:r>
        <w:rPr>
          <w:rFonts w:ascii="Times New Roman" w:hAnsi="Times New Roman" w:eastAsia="仿宋_GB2312" w:cs="Times New Roman"/>
          <w:b w:val="0"/>
          <w:bCs w:val="0"/>
          <w:sz w:val="32"/>
          <w:szCs w:val="32"/>
        </w:rPr>
        <w:t>специальные мероприятия по наведению порядка</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b w:val="0"/>
          <w:bCs w:val="0"/>
          <w:sz w:val="32"/>
          <w:szCs w:val="32"/>
        </w:rPr>
        <w:t>Меры специального упорядочения охватили крупные торговые центры и супермаркеты, а также медицинские и массажные/оздоровительные заведения при отелях</w:t>
      </w:r>
      <w:r>
        <w:rPr>
          <w:rFonts w:hint="default" w:ascii="Times New Roman" w:hAnsi="Times New Roman" w:eastAsia="仿宋_GB2312" w:cs="Times New Roman"/>
          <w:sz w:val="32"/>
          <w:szCs w:val="32"/>
          <w:lang w:val="en-US" w:eastAsia="zh-CN"/>
        </w:rPr>
        <w:t>, медицинские и массажно-оздоровительные учреждения в отелях, частные клиники традиционной китайской медицины и учреждения, объединяющие китайскую и западную медицину (медпункты, клиники, амбулатории, больницы). Параллельно внедрялся механизм «трёх открытостей»: открытость ответственного за надзор, открытость цен, открытость телефона для сообщений о подозрительных нарушениях.</w:t>
      </w:r>
    </w:p>
    <w:p w14:paraId="185FC0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b w:val="0"/>
          <w:bCs w:val="0"/>
          <w:sz w:val="32"/>
          <w:szCs w:val="32"/>
        </w:rPr>
        <w:t>По состоянию на 17:00 3 апреля по всему городу было выявлено 283 учреждения традиционной китайской медицины, интегрированной китайской и западной медицины, а также массажные и оздоровительные заведения, расположенные в крупных торговых центрах, супермаркетах и отелях.</w:t>
      </w:r>
      <w:r>
        <w:rPr>
          <w:rFonts w:hint="default" w:ascii="Times New Roman" w:hAnsi="Times New Roman" w:eastAsia="仿宋_GB2312" w:cs="Times New Roman"/>
          <w:sz w:val="32"/>
          <w:szCs w:val="32"/>
          <w:lang w:val="en-US" w:eastAsia="zh-CN"/>
        </w:rPr>
        <w:t xml:space="preserve"> медицинские учреждения традиционной китайской и объединяющей китайскую и западную медицину, а также массажно-оздоровительные центры. Все они были охвачены сплошной проверкой. На месте было обнаружено 72 учреждения, где медицинские и бытовые массажные организации находились в одном помещении. Выявлено 359 проблем различного характера (131 уже устранена). Основные категории проблем: осуществление медицинской деятельности персоналом, не прошедшим своевременную регистрацию; нарушение правил обращения с медицинскими отходами; нарушение норм дезинфекции; отсутствие ценников на услуги и т.д. Сотрудники санитарного надзора на месте выдали 19 предписаний санитарного надзора и 75 уведомлений об устранении нарушений. В ходе проверки не было выявлено других нарушений, требующих передачи для наложения административного взыскания.</w:t>
      </w:r>
    </w:p>
    <w:p w14:paraId="342DA45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b/>
          <w:bCs/>
          <w:sz w:val="32"/>
          <w:szCs w:val="32"/>
        </w:rPr>
        <w:t>(III)</w:t>
      </w:r>
      <w:r>
        <w:rPr>
          <w:rFonts w:hint="default" w:ascii="Times New Roman" w:hAnsi="Times New Roman" w:eastAsia="楷体_GB2312" w:cs="Times New Roman"/>
          <w:b/>
          <w:bCs/>
          <w:sz w:val="32"/>
          <w:szCs w:val="32"/>
          <w:lang w:val="en-US" w:eastAsia="zh-CN"/>
        </w:rPr>
        <w:t xml:space="preserve"> Усиление межведомственного взаимодействия, создание механизма быстрого реагирования и долгосрочного надзора</w:t>
      </w:r>
    </w:p>
    <w:p w14:paraId="41B960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Наш комитет совместно с Городским управлением по надзору за рынком, Управлением по культуре, радио, телевидению, спорту и туризму, Городским управлением общественной безопасности, Управлением комплексного административного правоприменения создал механизм обмена информацией и совместного реагирования, предусматривающий «немедленную проверку и совместное расследование» жалоб, связанных с туристической медицинской и оздоровительной сферой. Кроме того, комитетам здравоохранения районов поручено реализовывать местную ответственность, увеличить частоту проверок ключевых объектов в туристических зонах и обеспечить бесперебойную работу каналов для подачи жалоб. В дальнейшем планируется включить медицинские и оздоровительные учреждения традиционной китайской медицины, расположенные в отелях,  </w:t>
      </w:r>
      <w:r>
        <w:rPr>
          <w:rFonts w:ascii="Times New Roman" w:hAnsi="Times New Roman" w:eastAsia="仿宋_GB2312" w:cs="Times New Roman"/>
          <w:b w:val="0"/>
          <w:bCs w:val="0"/>
          <w:sz w:val="32"/>
          <w:szCs w:val="32"/>
        </w:rPr>
        <w:t>в систему управления туристическим рынком «одно учреждение — один код», обеспечив прозрачность и доступность сведений о ценах, разрешительных документах и деловой репутации</w:t>
      </w:r>
      <w:r>
        <w:rPr>
          <w:rFonts w:hint="default" w:ascii="Times New Roman" w:hAnsi="Times New Roman" w:eastAsia="仿宋_GB2312" w:cs="Times New Roman"/>
          <w:sz w:val="32"/>
          <w:szCs w:val="32"/>
          <w:lang w:val="en-US" w:eastAsia="zh-CN"/>
        </w:rPr>
        <w:t>.</w:t>
      </w:r>
    </w:p>
    <w:p w14:paraId="116FF4E0">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黑体" w:cs="Times New Roman"/>
          <w:sz w:val="36"/>
          <w:szCs w:val="36"/>
          <w:lang w:val="en-US" w:eastAsia="zh-CN"/>
        </w:rPr>
        <w:t>III. Дальнейшие меры</w:t>
      </w:r>
    </w:p>
    <w:p w14:paraId="1A120F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b/>
          <w:bCs/>
          <w:sz w:val="32"/>
          <w:szCs w:val="32"/>
        </w:rPr>
        <w:t>(I)</w:t>
      </w:r>
      <w:r>
        <w:rPr>
          <w:rFonts w:hint="default" w:ascii="Times New Roman" w:hAnsi="Times New Roman" w:eastAsia="楷体_GB2312" w:cs="Times New Roman"/>
          <w:b/>
          <w:bCs/>
          <w:sz w:val="32"/>
          <w:szCs w:val="32"/>
          <w:lang w:val="en-US" w:eastAsia="zh-CN"/>
        </w:rPr>
        <w:t xml:space="preserve"> Завершение цикла устранения выявленных нарушений</w:t>
      </w:r>
    </w:p>
    <w:p w14:paraId="1A1870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Все 283 соответствующих медицинских учреждения уже охвачены сплошной проверкой, выявлено 359 проблем (из них 131 устранена на месте). Оставшиеся 228 проблем занесены в реестр исправлений с указанием ответственных подразделений и сроков устранения, применяется система списания по мере выполнения. Наш комитет назначит ответственных лиц для последующего контроля, после устранения нарушений будет проведена совместная повторная проверка несколькими ведомствами для обеспечения полного устранения проблем без пробелов. Одновременно будет проведено обобщение выявленных проблем и хода их исправления, созданы и усовершенствованы механизмы классифицированного и уровневого надзора, обеспечен регулярный и долгосрочный характер надзорной работы.</w:t>
      </w:r>
    </w:p>
    <w:p w14:paraId="3F931A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b/>
          <w:bCs/>
          <w:sz w:val="32"/>
          <w:szCs w:val="32"/>
        </w:rPr>
        <w:t>(II)</w:t>
      </w:r>
      <w:r>
        <w:rPr>
          <w:rFonts w:hint="default" w:ascii="Times New Roman" w:hAnsi="Times New Roman" w:eastAsia="楷体_GB2312" w:cs="Times New Roman"/>
          <w:b/>
          <w:bCs/>
          <w:sz w:val="32"/>
          <w:szCs w:val="32"/>
          <w:lang w:val="en-US" w:eastAsia="zh-CN"/>
        </w:rPr>
        <w:t xml:space="preserve"> Усиление отраслевых стандартов и обучения</w:t>
      </w:r>
    </w:p>
    <w:p w14:paraId="64FBF3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Разработать руководящие стандарты практики для клиник традиционной китайской медицины и массажно-оздоровительных центров, организовать всеобщее обучение, добиваться создания внутренних систем ведения амбулаторных журналов, учёта рецептов, дезинфекции и обращения с медицинскими отходами. В отношении неоднократно нарушающих и злостных учреждений они будут включены </w:t>
      </w:r>
      <w:r>
        <w:rPr>
          <w:rFonts w:ascii="Times New Roman" w:hAnsi="Times New Roman" w:eastAsia="仿宋_GB2312" w:cs="Times New Roman"/>
          <w:b w:val="0"/>
          <w:bCs w:val="0"/>
          <w:sz w:val="32"/>
          <w:szCs w:val="32"/>
        </w:rPr>
        <w:t xml:space="preserve">в перечень медицинских учреждений с нарушениями </w:t>
      </w:r>
      <w:r>
        <w:rPr>
          <w:rFonts w:hint="default" w:ascii="Times New Roman" w:hAnsi="Times New Roman" w:eastAsia="仿宋_GB2312" w:cs="Times New Roman"/>
          <w:sz w:val="32"/>
          <w:szCs w:val="32"/>
          <w:lang w:val="en-US" w:eastAsia="zh-CN"/>
        </w:rPr>
        <w:t>, усилен ежедневный надзор, а в случае выявления нарушений они будут строжайше наказываться.</w:t>
      </w:r>
    </w:p>
    <w:p w14:paraId="24D8F6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b/>
          <w:bCs/>
          <w:sz w:val="32"/>
          <w:szCs w:val="32"/>
        </w:rPr>
        <w:t>(III)</w:t>
      </w:r>
      <w:r>
        <w:rPr>
          <w:rFonts w:hint="default" w:ascii="Times New Roman" w:hAnsi="Times New Roman" w:eastAsia="楷体_GB2312" w:cs="Times New Roman"/>
          <w:b/>
          <w:bCs/>
          <w:sz w:val="32"/>
          <w:szCs w:val="32"/>
          <w:lang w:val="en-US" w:eastAsia="zh-CN"/>
        </w:rPr>
        <w:t xml:space="preserve"> Повышение способности обслуживания иностранных граждан</w:t>
      </w:r>
    </w:p>
    <w:p w14:paraId="1FA4EF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Обеспечить, чтобы все медицинские и оздоровительные учреждения, связанные с туризмом в городе, разработали стандарты обслуживания иностранных граждан. Во-первых, совместно с управлениями по надзору за рынком и по культуре и туризму направлять и контролировать медицинские учреждения в полном внедрении трёхъязычных (китайский, английский, русский) прейскурантов, публичной демонстрации гарантий обслуживания и информации о защите прав потребителей, обеспечивая право иностранных туристов на информацию о расходах. Во-вторых, усилить обучение персонала по обслуживанию иностранных граждан, включая базовое общение на иностранных языках, знание культурных особенностей иностранных туристов и процедуры реагирования на жалобы, повышая доброжелательность и профессионализм обслуживания. В-третьих, усовершенствовать внутренние механизмы рассмотрения жалоб в медицинских учреждениях, создать специальные должности или назначить ответственных за обслуживание иностранных граждан для обеспечения незамедлительного реагирования на запросы и полного цикла урегулирования. В-четвёртых, способствовать включению обслуживания иностранных граждан </w:t>
      </w:r>
      <w:r>
        <w:rPr>
          <w:rFonts w:ascii="Times New Roman" w:hAnsi="Times New Roman" w:eastAsia="仿宋_GB2312" w:cs="Times New Roman"/>
          <w:b w:val="0"/>
          <w:bCs w:val="0"/>
          <w:sz w:val="32"/>
          <w:szCs w:val="32"/>
        </w:rPr>
        <w:t>включить сведения о качестве обслуживания иностранных граждан в систему кредитного надзора «одно учреждение — один код»; учреждения, где обслуживание не соответствует нормам и часто поступают жалобы, подлежат усиленному надзору и преданию публичной огласке</w:t>
      </w:r>
      <w:r>
        <w:rPr>
          <w:rFonts w:hint="default" w:ascii="Times New Roman" w:hAnsi="Times New Roman" w:eastAsia="仿宋_GB2312" w:cs="Times New Roman"/>
          <w:sz w:val="32"/>
          <w:szCs w:val="32"/>
          <w:lang w:val="en-US" w:eastAsia="zh-CN"/>
        </w:rPr>
        <w:t xml:space="preserve"> учреждений, не соответствующих стандартам или часто вызывающих жалобы.</w:t>
      </w:r>
    </w:p>
    <w:p w14:paraId="4A0B2C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b/>
          <w:bCs/>
          <w:sz w:val="32"/>
          <w:szCs w:val="32"/>
        </w:rPr>
        <w:t>(IV)</w:t>
      </w:r>
      <w:r>
        <w:rPr>
          <w:rFonts w:hint="default" w:ascii="Times New Roman" w:hAnsi="Times New Roman" w:eastAsia="楷体_GB2312" w:cs="Times New Roman"/>
          <w:b/>
          <w:bCs/>
          <w:sz w:val="32"/>
          <w:szCs w:val="32"/>
          <w:lang w:val="en-US" w:eastAsia="zh-CN"/>
        </w:rPr>
        <w:t xml:space="preserve"> Углубление межведомственного скоординированного надзора</w:t>
      </w:r>
    </w:p>
    <w:p w14:paraId="00B68D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Совершенствовать систему регулярных совместных проверок, </w:t>
      </w:r>
      <w:r>
        <w:rPr>
          <w:rFonts w:ascii="Times New Roman" w:hAnsi="Times New Roman" w:eastAsia="仿宋_GB2312" w:cs="Times New Roman"/>
          <w:b w:val="0"/>
          <w:bCs w:val="0"/>
          <w:sz w:val="32"/>
          <w:szCs w:val="32"/>
        </w:rPr>
        <w:t>проводить не реже одного раза в квартал специальные совместные правоприменительные мероприятия</w:t>
      </w:r>
      <w:r>
        <w:rPr>
          <w:rFonts w:hint="default" w:ascii="Times New Roman" w:hAnsi="Times New Roman" w:eastAsia="仿宋_GB2312" w:cs="Times New Roman"/>
          <w:sz w:val="32"/>
          <w:szCs w:val="32"/>
          <w:lang w:val="en-US" w:eastAsia="zh-CN"/>
        </w:rPr>
        <w:t xml:space="preserve"> в сфере медицинских и оздоровительных услуг, связанных с туризмом, не реже одного раза в квартал. Обеспечить обмен данными между органами здравоохранения, рыночного надзора, культуры и туризма, общественной безопасности, включить информацию о жалобах на медицинские учреждения, связанные с туризмом, и записи о наказаниях в городскую систему кредитной оценки медицинских учреждений.</w:t>
      </w:r>
    </w:p>
    <w:p w14:paraId="10EBDB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320EC5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481C43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623C1A5D">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Комитет по здравоохранению города Санья</w:t>
      </w:r>
    </w:p>
    <w:p w14:paraId="29FA7F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16</w:t>
      </w:r>
      <w:r>
        <w:rPr>
          <w:rFonts w:hint="default" w:ascii="Times New Roman" w:hAnsi="Times New Roman" w:eastAsia="仿宋_GB2312" w:cs="Times New Roman"/>
          <w:sz w:val="32"/>
          <w:szCs w:val="32"/>
          <w:lang w:val="en-US" w:eastAsia="zh-CN"/>
        </w:rPr>
        <w:t xml:space="preserve"> апреля 2026 года</w:t>
      </w:r>
    </w:p>
    <w:p w14:paraId="4E5E1EA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38192B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(Контактное лицо: Цю Лун, тел.: 13617514626)</w:t>
      </w:r>
    </w:p>
    <w:p w14:paraId="600589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bookmarkStart w:id="0" w:name="_GoBack"/>
      <w:bookmarkEnd w:id="0"/>
      <w:r>
        <w:rPr>
          <w:rFonts w:hint="default" w:ascii="Times New Roman" w:hAnsi="Times New Roman" w:eastAsia="仿宋_GB2312" w:cs="Times New Roman"/>
          <w:sz w:val="32"/>
          <w:szCs w:val="32"/>
          <w:lang w:val="en-US" w:eastAsia="zh-CN"/>
        </w:rPr>
        <w:t>Раскрытие информации в инициативном порядке)</w:t>
      </w:r>
    </w:p>
    <w:p w14:paraId="3F32F98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70A737F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6745F4E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5365B0F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632EE07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7530E5E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5147405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134BC3B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4DC4727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118BFEE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19A7FC7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22035FE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29D7790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09F941C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3839EC7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588F0A4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39090D6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1E02A45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0277668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7B5ED40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5BC69EF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6C6B8E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Копии: Городскому управлению общественной безопасности, Городскому управлению по культуре, радио, телевидению, спорту и туризму, Городскому управлению по надзору за рынком, Городскому управлению комплексного административного правоприменения.</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D9E0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A6CD3">
                          <w:pPr>
                            <w:pStyle w:val="2"/>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 xml:space="preserve">— </w:t>
                          </w:r>
                          <w:r>
                            <w:rPr>
                              <w:rFonts w:hint="eastAsia" w:ascii="仿宋_GB2312" w:hAnsi="仿宋_GB2312" w:eastAsia="仿宋_GB2312" w:cs="仿宋_GB2312"/>
                              <w:b/>
                              <w:bCs/>
                              <w:sz w:val="24"/>
                              <w:szCs w:val="24"/>
                              <w:lang w:eastAsia="zh-CN"/>
                            </w:rPr>
                            <w:fldChar w:fldCharType="begin"/>
                          </w:r>
                          <w:r>
                            <w:rPr>
                              <w:rFonts w:hint="eastAsia" w:ascii="仿宋_GB2312" w:hAnsi="仿宋_GB2312" w:eastAsia="仿宋_GB2312" w:cs="仿宋_GB2312"/>
                              <w:b/>
                              <w:bCs/>
                              <w:sz w:val="24"/>
                              <w:szCs w:val="24"/>
                              <w:lang w:eastAsia="zh-CN"/>
                            </w:rPr>
                            <w:instrText xml:space="preserve"> PAGE  \* MERGEFORMAT </w:instrText>
                          </w:r>
                          <w:r>
                            <w:rPr>
                              <w:rFonts w:hint="eastAsia" w:ascii="仿宋_GB2312" w:hAnsi="仿宋_GB2312" w:eastAsia="仿宋_GB2312" w:cs="仿宋_GB2312"/>
                              <w:b/>
                              <w:bCs/>
                              <w:sz w:val="24"/>
                              <w:szCs w:val="24"/>
                              <w:lang w:eastAsia="zh-CN"/>
                            </w:rPr>
                            <w:fldChar w:fldCharType="separate"/>
                          </w:r>
                          <w:r>
                            <w:rPr>
                              <w:rFonts w:hint="eastAsia" w:ascii="仿宋_GB2312" w:hAnsi="仿宋_GB2312" w:eastAsia="仿宋_GB2312" w:cs="仿宋_GB2312"/>
                              <w:b/>
                              <w:bCs/>
                              <w:sz w:val="24"/>
                              <w:szCs w:val="24"/>
                              <w:lang w:eastAsia="zh-CN"/>
                            </w:rPr>
                            <w:t>1</w:t>
                          </w:r>
                          <w:r>
                            <w:rPr>
                              <w:rFonts w:hint="eastAsia" w:ascii="仿宋_GB2312" w:hAnsi="仿宋_GB2312" w:eastAsia="仿宋_GB2312" w:cs="仿宋_GB2312"/>
                              <w:b/>
                              <w:bCs/>
                              <w:sz w:val="24"/>
                              <w:szCs w:val="24"/>
                              <w:lang w:eastAsia="zh-CN"/>
                            </w:rPr>
                            <w:fldChar w:fldCharType="end"/>
                          </w:r>
                          <w:r>
                            <w:rPr>
                              <w:rFonts w:hint="eastAsia" w:ascii="仿宋_GB2312" w:hAnsi="仿宋_GB2312" w:eastAsia="仿宋_GB2312" w:cs="仿宋_GB2312"/>
                              <w:b/>
                              <w:bCs/>
                              <w:sz w:val="24"/>
                              <w:szCs w:val="24"/>
                              <w:lang w:eastAsia="zh-CN"/>
                            </w:rPr>
                            <w:t xml:space="preserve"> —</w:t>
                          </w:r>
                        </w:p>
                        <w:p w14:paraId="7AB126F9">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5A6CD3">
                    <w:pPr>
                      <w:pStyle w:val="2"/>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 xml:space="preserve">— </w:t>
                    </w:r>
                    <w:r>
                      <w:rPr>
                        <w:rFonts w:hint="eastAsia" w:ascii="仿宋_GB2312" w:hAnsi="仿宋_GB2312" w:eastAsia="仿宋_GB2312" w:cs="仿宋_GB2312"/>
                        <w:b/>
                        <w:bCs/>
                        <w:sz w:val="24"/>
                        <w:szCs w:val="24"/>
                        <w:lang w:eastAsia="zh-CN"/>
                      </w:rPr>
                      <w:fldChar w:fldCharType="begin"/>
                    </w:r>
                    <w:r>
                      <w:rPr>
                        <w:rFonts w:hint="eastAsia" w:ascii="仿宋_GB2312" w:hAnsi="仿宋_GB2312" w:eastAsia="仿宋_GB2312" w:cs="仿宋_GB2312"/>
                        <w:b/>
                        <w:bCs/>
                        <w:sz w:val="24"/>
                        <w:szCs w:val="24"/>
                        <w:lang w:eastAsia="zh-CN"/>
                      </w:rPr>
                      <w:instrText xml:space="preserve"> PAGE  \* MERGEFORMAT </w:instrText>
                    </w:r>
                    <w:r>
                      <w:rPr>
                        <w:rFonts w:hint="eastAsia" w:ascii="仿宋_GB2312" w:hAnsi="仿宋_GB2312" w:eastAsia="仿宋_GB2312" w:cs="仿宋_GB2312"/>
                        <w:b/>
                        <w:bCs/>
                        <w:sz w:val="24"/>
                        <w:szCs w:val="24"/>
                        <w:lang w:eastAsia="zh-CN"/>
                      </w:rPr>
                      <w:fldChar w:fldCharType="separate"/>
                    </w:r>
                    <w:r>
                      <w:rPr>
                        <w:rFonts w:hint="eastAsia" w:ascii="仿宋_GB2312" w:hAnsi="仿宋_GB2312" w:eastAsia="仿宋_GB2312" w:cs="仿宋_GB2312"/>
                        <w:b/>
                        <w:bCs/>
                        <w:sz w:val="24"/>
                        <w:szCs w:val="24"/>
                        <w:lang w:eastAsia="zh-CN"/>
                      </w:rPr>
                      <w:t>1</w:t>
                    </w:r>
                    <w:r>
                      <w:rPr>
                        <w:rFonts w:hint="eastAsia" w:ascii="仿宋_GB2312" w:hAnsi="仿宋_GB2312" w:eastAsia="仿宋_GB2312" w:cs="仿宋_GB2312"/>
                        <w:b/>
                        <w:bCs/>
                        <w:sz w:val="24"/>
                        <w:szCs w:val="24"/>
                        <w:lang w:eastAsia="zh-CN"/>
                      </w:rPr>
                      <w:fldChar w:fldCharType="end"/>
                    </w:r>
                    <w:r>
                      <w:rPr>
                        <w:rFonts w:hint="eastAsia" w:ascii="仿宋_GB2312" w:hAnsi="仿宋_GB2312" w:eastAsia="仿宋_GB2312" w:cs="仿宋_GB2312"/>
                        <w:b/>
                        <w:bCs/>
                        <w:sz w:val="24"/>
                        <w:szCs w:val="24"/>
                        <w:lang w:eastAsia="zh-CN"/>
                      </w:rPr>
                      <w:t xml:space="preserve"> —</w:t>
                    </w:r>
                  </w:p>
                  <w:p w14:paraId="7AB126F9">
                    <w:pPr>
                      <w:pStyle w:val="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87645"/>
    <w:rsid w:val="00B46918"/>
    <w:rsid w:val="00BC57CD"/>
    <w:rsid w:val="04C15E11"/>
    <w:rsid w:val="089677E4"/>
    <w:rsid w:val="093E4990"/>
    <w:rsid w:val="0D1A6C4D"/>
    <w:rsid w:val="0D2A1D10"/>
    <w:rsid w:val="12641C51"/>
    <w:rsid w:val="16995F6D"/>
    <w:rsid w:val="172D33F1"/>
    <w:rsid w:val="1F4A3A76"/>
    <w:rsid w:val="1F7A2683"/>
    <w:rsid w:val="20347613"/>
    <w:rsid w:val="26045291"/>
    <w:rsid w:val="2E7F28DE"/>
    <w:rsid w:val="3011493E"/>
    <w:rsid w:val="3203475A"/>
    <w:rsid w:val="333E59D3"/>
    <w:rsid w:val="33784CD4"/>
    <w:rsid w:val="33A930DF"/>
    <w:rsid w:val="33E03C0A"/>
    <w:rsid w:val="3BB84807"/>
    <w:rsid w:val="401D732F"/>
    <w:rsid w:val="42D127C9"/>
    <w:rsid w:val="434A043B"/>
    <w:rsid w:val="45487645"/>
    <w:rsid w:val="4A102038"/>
    <w:rsid w:val="4A4060F4"/>
    <w:rsid w:val="4B0128D9"/>
    <w:rsid w:val="4C651E42"/>
    <w:rsid w:val="4D7C0647"/>
    <w:rsid w:val="50DF264D"/>
    <w:rsid w:val="52BF385E"/>
    <w:rsid w:val="540B7773"/>
    <w:rsid w:val="5EE73DC1"/>
    <w:rsid w:val="5F5F6DD5"/>
    <w:rsid w:val="5F7563E8"/>
    <w:rsid w:val="606E1653"/>
    <w:rsid w:val="63D8548A"/>
    <w:rsid w:val="65F500A7"/>
    <w:rsid w:val="68BC5088"/>
    <w:rsid w:val="6C5850C7"/>
    <w:rsid w:val="6CDD3B27"/>
    <w:rsid w:val="71F63220"/>
    <w:rsid w:val="72455242"/>
    <w:rsid w:val="7410502F"/>
    <w:rsid w:val="78414C61"/>
    <w:rsid w:val="785C7CED"/>
    <w:rsid w:val="795F1843"/>
    <w:rsid w:val="7E413C0D"/>
    <w:rsid w:val="7FF134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其他</Company>
  <Pages>12</Pages>
  <Words>1468</Words>
  <Characters>10918</Characters>
  <Lines>0</Lines>
  <Paragraphs>0</Paragraphs>
  <TotalTime>1327</TotalTime>
  <ScaleCrop>false</ScaleCrop>
  <LinksUpToDate>false</LinksUpToDate>
  <CharactersWithSpaces>12371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2026-04-09T11:08:00Z</dcterms:created>
  <dc:creator>LL</dc:creator>
  <cp:lastModifiedBy>LL</cp:lastModifiedBy>
  <dcterms:modified xsi:type="dcterms:W3CDTF">2026-04-17T09:19:57Z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B1E954BB1BA54B6DAA1A4E8237D01735_13</vt:lpwstr>
  </property>
  <property fmtid="{D5CDD505-2E9C-101B-9397-08002B2CF9AE}" pid="4" name="KSOTemplateDocerSaveRecord">
    <vt:lpwstr>eyJoZGlkIjoiOTY5YzVjYTE5MWJjMzBiODg5OGQ4YjkxNWI5NDdmNmEiLCJ1c2VySWQiOiI3MTg5NDkxMzAifQ==</vt:lpwstr>
  </property>
</Properties>
</file>