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2C8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44"/>
          <w:szCs w:val="44"/>
        </w:rPr>
      </w:pPr>
      <w:r>
        <w:rPr>
          <w:rFonts w:hint="default" w:ascii="Times New Roman" w:hAnsi="Times New Roman" w:cs="Times New Roman"/>
          <w:sz w:val="44"/>
          <w:szCs w:val="44"/>
        </w:rPr>
        <w:t>Reply Letter of Sanya Municipal Health Commission on the Complaint Handling and Special Rectification of Medical and Wellness Institutions Involving Tourism</w:t>
      </w:r>
    </w:p>
    <w:p w14:paraId="53EC4C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44"/>
          <w:szCs w:val="44"/>
        </w:rPr>
      </w:pPr>
    </w:p>
    <w:p w14:paraId="57DAD18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To the Office of Sanya Municipal Tourism Work Leading Group:</w:t>
      </w:r>
    </w:p>
    <w:p w14:paraId="6DCF1B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On March 27, 2026, the Hainan Provincial 12345 Government Service Convenience Hotline forwarded a tourism-related complaint: a group of six tourists from Kazakhstan, after receiving services at the “Tibetan Medicine Wellness Center” inside the Crowne Plaza Sanya Bay Hotel, believed the fees charged were excessively high. Upon investigation, the institution in question was found to be the Sanya Tianya Zhao Yong Traditional Chinese Medicine Clinic, actually located inside the Sanya Jinghai International Holiday Hotel. The clinic was found to have issues including no medical records, chaotic medical waste management, and opaque pricing. This exposed significant shortcomings in the field of medical and wellness services involving tourism in our city, particularly in terms of practice standards, industry supervision, and foreign-related services. In accordance with the instructions of the leading officials of the Hainan Provincial Party Committee and Sanya Municipal Party Committee, our Commission promptly coordinated with the Municipal Comprehensive Administrative Law Enforcement Bureau, the Municipal Tourism, Culture, Radio, Television and Sports Bureau, the Municipal Market Supervision Bureau, and other departments to conduct investigation and handling, and deployed a city-wide special rectification campaign. The relevant information is hereby replied as follows:</w:t>
      </w:r>
    </w:p>
    <w:p w14:paraId="62288C0F">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default" w:ascii="Times New Roman" w:hAnsi="Times New Roman" w:cs="Times New Roman"/>
          <w:sz w:val="36"/>
          <w:szCs w:val="36"/>
        </w:rPr>
      </w:pPr>
      <w:r>
        <w:rPr>
          <w:rFonts w:hint="default" w:ascii="Times New Roman" w:hAnsi="Times New Roman" w:cs="Times New Roman"/>
          <w:sz w:val="36"/>
          <w:szCs w:val="36"/>
        </w:rPr>
        <w:t>I. Main Problems Identified from the Incident and Analysis of Causes</w:t>
      </w:r>
    </w:p>
    <w:p w14:paraId="062C380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sz w:val="32"/>
          <w:szCs w:val="32"/>
        </w:rPr>
      </w:pPr>
      <w:r>
        <w:rPr>
          <w:rFonts w:hint="default" w:ascii="Times New Roman" w:hAnsi="Times New Roman" w:cs="Times New Roman"/>
          <w:b/>
          <w:bCs/>
          <w:sz w:val="32"/>
          <w:szCs w:val="32"/>
        </w:rPr>
        <w:t>(I) Main Problem Manifestations</w:t>
      </w:r>
    </w:p>
    <w:p w14:paraId="4653E3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First, the involved medical institution failed to practice in accordance with the law. The Sanya Tianya Zhao Yong Traditional Chinese Medicine Clinic had no outpatient logs, prescriptions, or other medical documents; medical waste disposal was not standardized; disinfection records were blank; and drug storage was chaotic, posing significant safety hazards. Second, price disclosure and foreign-related services were inadequate. Fees were not clearly marked, and foreign tourists lacked transparency regarding treatment items and costs; language barriers aggravated consumption disputes. Third, there were regulatory blind spots. The Sanya Tianya Zhao Yong TCM Clinic and the Tianya District Jinghai Massage Center, both located inside the Jinghai International Holiday Hotel, were set up in the same area, with no strict separation between the medical zone and the lifestyle massage zone. Regulatory responsibilities overlapped among multiple departments, and the capacity for routine supervision at the district level was insufficient. The lack of coordinated routine inspection efforts made full coverage difficult.</w:t>
      </w:r>
    </w:p>
    <w:p w14:paraId="215FAE5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sz w:val="32"/>
          <w:szCs w:val="32"/>
        </w:rPr>
      </w:pPr>
      <w:r>
        <w:rPr>
          <w:rFonts w:hint="default" w:ascii="Times New Roman" w:hAnsi="Times New Roman" w:cs="Times New Roman"/>
          <w:b/>
          <w:bCs/>
          <w:sz w:val="32"/>
          <w:szCs w:val="32"/>
        </w:rPr>
        <w:t>(II) Cause Analysis</w:t>
      </w:r>
    </w:p>
    <w:p w14:paraId="11BA72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The involved institution demonstrated weak awareness of legal compliance, pursued economic interests one‑sidedly, and its internal management systems were virtually non‑existent. Industry supervision standards were incomplete, lacking detailed requirements for the practice standards of TCM clinics and massage/wellness establishments. Cross‑departmental coordination mechanisms had not yet operated effectively, and information sharing mechanisms among hotels, tourism, health, market supervision, and other sectors needed improvement. Foreign‑service capabilities of private medical institutions were inadequate, with missing supporting measures such as multilingual signage and rapid complaint handling.</w:t>
      </w:r>
    </w:p>
    <w:p w14:paraId="37768FBD">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default" w:ascii="Times New Roman" w:hAnsi="Times New Roman" w:cs="Times New Roman"/>
          <w:sz w:val="36"/>
          <w:szCs w:val="36"/>
        </w:rPr>
      </w:pPr>
      <w:r>
        <w:rPr>
          <w:rFonts w:hint="default" w:ascii="Times New Roman" w:hAnsi="Times New Roman" w:cs="Times New Roman"/>
          <w:sz w:val="36"/>
          <w:szCs w:val="36"/>
        </w:rPr>
        <w:t>II. Major Actions Taken and Results Achieved</w:t>
      </w:r>
    </w:p>
    <w:p w14:paraId="4D075DE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sz w:val="32"/>
          <w:szCs w:val="32"/>
        </w:rPr>
      </w:pPr>
      <w:r>
        <w:rPr>
          <w:rFonts w:hint="default" w:ascii="Times New Roman" w:hAnsi="Times New Roman" w:cs="Times New Roman"/>
          <w:b/>
          <w:bCs/>
          <w:sz w:val="32"/>
          <w:szCs w:val="32"/>
        </w:rPr>
        <w:t>(I) Immediate Closure of the Involved Institution and Strict Legal Penalties</w:t>
      </w:r>
    </w:p>
    <w:p w14:paraId="2B0AE1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Upon receiving the complaint on March 27, 2026, our Commission, together with the Municipal Comprehensive Administrative Law Enforcement Bureau, the Municipal Tourism, Culture, Radio, Television and Sports Bureau, and the Municipal Market Supervision Bureau, conducted an on‑site investigation. Yan Yulan, the actual operator of the Sanya Tianya Zhao Yong TCM Clinic, orally stated that she had received approximately RMB 2,100 in cash for treating five individuals. On the morning of March 28, another complaint was filed against the clinic. Our Commission, together with the Municipal Tourism, Culture, Radio, Television and Sports Bureau, verified that the clinic had actually charged RMB 30,000 (by card) for five tourists and could not provide any medical records. On the afternoon of March 28, our Commission instructed the Tianya District Health Commission to legally order the clinic to suspend operations for rectification and to strictly prohibit any further medical activities. The Municipal Center for Disease Control and Prevention (Health Supervision Institute) has initiated an investigation into its illegal acts of failing to write prescriptions according to regulations and improperly disposing of medical waste, and will impose heavy penalties in accordance with the law. At the same time, the clinic’s violations have been circulated and criticized across the industry, and the Tianya District Health Commission has been urged to supervise rectification. The clinic may only resume operations after passing joint inspection and approval by multiple departments.</w:t>
      </w:r>
    </w:p>
    <w:p w14:paraId="494C7CC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sz w:val="32"/>
          <w:szCs w:val="32"/>
        </w:rPr>
      </w:pPr>
      <w:r>
        <w:rPr>
          <w:rFonts w:hint="default" w:ascii="Times New Roman" w:hAnsi="Times New Roman" w:cs="Times New Roman"/>
          <w:b/>
          <w:bCs/>
          <w:sz w:val="32"/>
          <w:szCs w:val="32"/>
        </w:rPr>
        <w:t>(II) Rapid Launch of Special Rectification and City‑Wide Investigation of Medical and Wellness Institutions Involving Tourism</w:t>
      </w:r>
    </w:p>
    <w:p w14:paraId="6497E4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On the afternoon of March 28, entrusted by the leading officials of the Hainan Provincial Party Committee and Sanya Municipal Party Committee, the principal head of our Commission convened a case discussion meeting with the Municipal Public Security Bureau, the Municipal Market Supervision Bureau, the Municipal Comprehensive Administrative Law Enforcement Bureau, and other departments, and simultaneously directed all district health commissions to deploy a special rectification campaign. The scope of the campaign covered medical and massage/wellness establishments inside large shopping malls and hotels, as well as private TCM and integrated TCM‑Western medicine institutions (dispensaries, clinics, outpatient departments, hospitals). Concurrently, the “Three Public Disclosures” working mechanism was implemented, requiring the disclosure of supervisory responsible persons, price lists, and hotline numbers for reporting suspected illegal or non‑compliant conduct.</w:t>
      </w:r>
    </w:p>
    <w:p w14:paraId="054CB8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As of 17:00 on April 3, 2026, a total of 283 TCM and integrated TCM‑Western medicine medical institutions and massage/wellness establishments located inside large shopping malls and hotels had been identified city‑wide. All have undergone a full‑coverage, dragnet‑style inspection. On‑site inspections revealed 72 institutions where medical facilities and lifestyle massage facilities were set up in the same premises. A total of 359 various problems were identified (131 have been rectified). The problems mainly involved medical personnel practicing without timely registration, non‑standard medical waste disposal, non‑standard disinfection, and lack of price disclosure for service items. Health supervision (auxiliary) officers issued 19 “Health Supervision Opinion Letters” and 75 “Health Supervision Auxiliary Rectification Notices” on the spot. During the on‑site inspections, no other illegal or non‑compliant issues requiring referral for case filing and punishment were found.</w:t>
      </w:r>
    </w:p>
    <w:p w14:paraId="6A4493A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sz w:val="32"/>
          <w:szCs w:val="32"/>
        </w:rPr>
      </w:pPr>
      <w:r>
        <w:rPr>
          <w:rFonts w:hint="default" w:ascii="Times New Roman" w:hAnsi="Times New Roman" w:cs="Times New Roman"/>
          <w:b/>
          <w:bCs/>
          <w:sz w:val="32"/>
          <w:szCs w:val="32"/>
        </w:rPr>
        <w:t>(III) Strengthened Inter‑Departmental Coordination and Establishment of Rapid Response and Long‑Term Regulatory Mechanisms</w:t>
      </w:r>
    </w:p>
    <w:p w14:paraId="044BCC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Our Commission has established information sharing and joint handling mechanisms with the Municipal Market Supervision Bureau, the Municipal Tourism, Culture, Radio, Television and Sports Bureau, the Municipal Public Security Bureau, and the Municipal Comprehensive Administrative Law Enforcement Bureau to implement “immediate investigation upon complaint and joint investigation” for tourism‑related medical and wellness complaints. At the same time, our Commission has guided all district health commissions to fulfill their territorial responsibilities, increase the frequency of inspections in key tourism‑related areas, and keep complaint reporting channels open. Next steps include integrating medical and wellness institutions involving tourism located within hotels into the “one‑household, one‑code” management system for the tourism market, enabling transparent, searchable information on prices, qualifications, and credit status.</w:t>
      </w:r>
    </w:p>
    <w:p w14:paraId="75176805">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default" w:ascii="Times New Roman" w:hAnsi="Times New Roman" w:cs="Times New Roman"/>
          <w:sz w:val="36"/>
          <w:szCs w:val="36"/>
        </w:rPr>
      </w:pPr>
      <w:r>
        <w:rPr>
          <w:rFonts w:hint="default" w:ascii="Times New Roman" w:hAnsi="Times New Roman" w:cs="Times New Roman"/>
          <w:sz w:val="36"/>
          <w:szCs w:val="36"/>
        </w:rPr>
        <w:t>III. Next Steps</w:t>
      </w:r>
    </w:p>
    <w:p w14:paraId="5F84DDE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sz w:val="32"/>
          <w:szCs w:val="32"/>
        </w:rPr>
      </w:pPr>
      <w:r>
        <w:rPr>
          <w:rFonts w:hint="default" w:ascii="Times New Roman" w:hAnsi="Times New Roman" w:cs="Times New Roman"/>
          <w:b/>
          <w:bCs/>
          <w:sz w:val="32"/>
          <w:szCs w:val="32"/>
        </w:rPr>
        <w:t>(I) Complete the Rectification Loop for All Identified Issues</w:t>
      </w:r>
    </w:p>
    <w:p w14:paraId="02F190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All 283 relevant institutions city‑wide have completed dragnet‑style, full‑coverage inspections. A total of 359 problems were identified (131 were rectified immediately). The remaining 228 problems have been entered into a rectification tracking ledger, with responsible entities and deadlines clearly assigned, and a check‑and‑close management system will be implemented. Our Commission will assign dedicated personnel to track and supervise the process. After rectification is completed, multi‑department joint review and acceptance will be conducted to ensure the issues are fully resolved without any blind spots. At the same time, the identified problems and rectification results will be summarized and analyzed, and a tiered, category‑based supervision mechanism will be established and improved to promote regular and long‑term supervision.</w:t>
      </w:r>
    </w:p>
    <w:p w14:paraId="091D066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sz w:val="32"/>
          <w:szCs w:val="32"/>
        </w:rPr>
      </w:pPr>
      <w:r>
        <w:rPr>
          <w:rFonts w:hint="default" w:ascii="Times New Roman" w:hAnsi="Times New Roman" w:cs="Times New Roman"/>
          <w:b/>
          <w:bCs/>
          <w:sz w:val="32"/>
          <w:szCs w:val="32"/>
        </w:rPr>
        <w:t>(II) Enhance Industry Standards and Training</w:t>
      </w:r>
    </w:p>
    <w:p w14:paraId="08145A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Practice standards and guidelines will be developed for TCM clinics and massage/wellness establishments, and full‑coverage training will be organized. These institutions will be urged to establish and improve internal systems such as outpatient logs, prescription management, disinfection records, and medical waste disposal. Institutions that repeatedly fail to correct problems or have serious issues will be placed on the abnormal list of the medical institution credit supervision system, receive intensified routine inspections, and face severe penalties immediately upon any discovery of illegal or non‑compliant conduct.</w:t>
      </w:r>
    </w:p>
    <w:p w14:paraId="0E6DDBA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sz w:val="32"/>
          <w:szCs w:val="32"/>
        </w:rPr>
      </w:pPr>
      <w:r>
        <w:rPr>
          <w:rFonts w:hint="default" w:ascii="Times New Roman" w:hAnsi="Times New Roman" w:cs="Times New Roman"/>
          <w:b/>
          <w:bCs/>
          <w:sz w:val="32"/>
          <w:szCs w:val="32"/>
        </w:rPr>
        <w:t>(III) Improve Foreign‑Related Service Capabilities</w:t>
      </w:r>
    </w:p>
    <w:p w14:paraId="082F3C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All tourism‑related medical and wellness institutions in the city will be urged to establish and improve foreign‑service standards. First, in coordination with the Market Supervision Bureau and the Tourism, Culture, Radio, Television and Sports Bureau, medical institutions will be guided and urged to adopt trilingual (Chinese‑English‑Russian) price lists, service commitments, and rights protection information displayed on walls, ensuring that foreign tourists have transparency on costs. Second, foreign‑service training for practitioners will be strengthened, including basic foreign language communication, cultural habits of foreign tourists, and complaint handling procedures, to enhance service amiability and professionalism. Third, internal complaint handling mechanisms within medical institutions will be improved, with designated foreign‑service posts or responsible persons to ensure that foreign tourists’ complaints receive prompt response and closed‑loop handling. Fourth, the foreign‑service performance of medical institutions will be incorporated into the “one‑household, one‑code” credit supervision system, with institutions providing non‑compliant services or receiving frequent complaints subject to intensified supervision and public exposure.</w:t>
      </w:r>
    </w:p>
    <w:p w14:paraId="198E407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sz w:val="32"/>
          <w:szCs w:val="32"/>
        </w:rPr>
      </w:pPr>
      <w:r>
        <w:rPr>
          <w:rFonts w:hint="default" w:ascii="Times New Roman" w:hAnsi="Times New Roman" w:cs="Times New Roman"/>
          <w:b/>
          <w:bCs/>
          <w:sz w:val="32"/>
          <w:szCs w:val="32"/>
        </w:rPr>
        <w:t>(IV) Deepen Cross‑Departmental Coordinated Supervision</w:t>
      </w:r>
    </w:p>
    <w:p w14:paraId="12A497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A regular joint inspection system will be improved, with at least one special joint enforcement action in the field of tourism‑related medical and wellness services every quarter. Data sharing among health, market supervision, tourism and culture, and public security departments will be promoted, integrating complaint information and penalty records of tourism‑related medical institutions into the city’s unified credit supervision and evaluation system for medical institutions.</w:t>
      </w:r>
    </w:p>
    <w:p w14:paraId="6FF2280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rPr>
      </w:pPr>
    </w:p>
    <w:p w14:paraId="0B363F6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rPr>
      </w:pPr>
    </w:p>
    <w:p w14:paraId="252D9A6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rPr>
      </w:pPr>
    </w:p>
    <w:p w14:paraId="1B42347F">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cs="Times New Roman"/>
          <w:sz w:val="32"/>
          <w:szCs w:val="32"/>
        </w:rPr>
      </w:pPr>
      <w:r>
        <w:rPr>
          <w:rFonts w:hint="default" w:ascii="Times New Roman" w:hAnsi="Times New Roman" w:cs="Times New Roman"/>
          <w:sz w:val="32"/>
          <w:szCs w:val="32"/>
        </w:rPr>
        <w:t>Sanya Municipal Health Commission</w:t>
      </w:r>
    </w:p>
    <w:p w14:paraId="11DEC8F0">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default" w:ascii="Times New Roman" w:hAnsi="Times New Roman" w:cs="Times New Roman"/>
          <w:sz w:val="32"/>
          <w:szCs w:val="32"/>
        </w:rPr>
      </w:pPr>
      <w:r>
        <w:rPr>
          <w:rFonts w:hint="default" w:ascii="Times New Roman" w:hAnsi="Times New Roman" w:cs="Times New Roman"/>
          <w:sz w:val="32"/>
          <w:szCs w:val="32"/>
        </w:rPr>
        <w:t xml:space="preserve">April </w:t>
      </w:r>
      <w:r>
        <w:rPr>
          <w:rFonts w:hint="eastAsia" w:ascii="Times New Roman" w:hAnsi="Times New Roman" w:cs="Times New Roman"/>
          <w:sz w:val="32"/>
          <w:szCs w:val="32"/>
          <w:lang w:eastAsia="zh"/>
        </w:rPr>
        <w:t>16</w:t>
      </w:r>
      <w:r>
        <w:rPr>
          <w:rFonts w:hint="default" w:ascii="Times New Roman" w:hAnsi="Times New Roman" w:cs="Times New Roman"/>
          <w:sz w:val="32"/>
          <w:szCs w:val="32"/>
        </w:rPr>
        <w:t>, 2026</w:t>
      </w:r>
    </w:p>
    <w:p w14:paraId="2A0FDB45">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cs="Times New Roman"/>
          <w:sz w:val="32"/>
          <w:szCs w:val="32"/>
        </w:rPr>
      </w:pPr>
    </w:p>
    <w:p w14:paraId="063AAB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cs="Times New Roman"/>
          <w:sz w:val="32"/>
          <w:szCs w:val="32"/>
        </w:rPr>
        <w:t>(Contact: Qiu Long, Tel: 13617514626)</w:t>
      </w:r>
      <w:bookmarkStart w:id="0" w:name="_GoBack"/>
      <w:bookmarkEnd w:id="0"/>
    </w:p>
    <w:p w14:paraId="12B03D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cs="Times New Roman"/>
          <w:sz w:val="32"/>
          <w:szCs w:val="32"/>
        </w:rPr>
        <w:t>(This document is subject to proactive disclosure)</w:t>
      </w:r>
    </w:p>
    <w:p w14:paraId="75EBEC8D">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cs="Times New Roman"/>
          <w:sz w:val="32"/>
          <w:szCs w:val="32"/>
        </w:rPr>
      </w:pPr>
    </w:p>
    <w:p w14:paraId="41A559B9">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cs="Times New Roman"/>
        </w:rPr>
      </w:pPr>
    </w:p>
    <w:p w14:paraId="634EF9CA">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cs="Times New Roman"/>
        </w:rPr>
      </w:pPr>
    </w:p>
    <w:p w14:paraId="6DC09AFF">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cs="Times New Roman"/>
        </w:rPr>
      </w:pPr>
    </w:p>
    <w:p w14:paraId="1A96BA51">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cs="Times New Roman"/>
        </w:rPr>
      </w:pPr>
    </w:p>
    <w:p w14:paraId="3FAF81B9">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cs="Times New Roman"/>
        </w:rPr>
      </w:pPr>
    </w:p>
    <w:p w14:paraId="692070BA">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cs="Times New Roman"/>
        </w:rPr>
      </w:pPr>
    </w:p>
    <w:p w14:paraId="6C71F8F2">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cs="Times New Roman"/>
        </w:rPr>
      </w:pPr>
    </w:p>
    <w:p w14:paraId="44FCB255">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cs="Times New Roman"/>
        </w:rPr>
      </w:pPr>
    </w:p>
    <w:p w14:paraId="5F83A3C0">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cs="Times New Roman"/>
        </w:rPr>
      </w:pPr>
    </w:p>
    <w:p w14:paraId="5B5AF36F">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cs="Times New Roman"/>
        </w:rPr>
      </w:pPr>
    </w:p>
    <w:p w14:paraId="27A79968">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cs="Times New Roman"/>
        </w:rPr>
      </w:pPr>
    </w:p>
    <w:p w14:paraId="59EF08C8">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cs="Times New Roman"/>
        </w:rPr>
      </w:pPr>
    </w:p>
    <w:p w14:paraId="4B9E01C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rPr>
      </w:pPr>
    </w:p>
    <w:p w14:paraId="17D4DE16">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cs="Times New Roman"/>
        </w:rPr>
      </w:pPr>
    </w:p>
    <w:p w14:paraId="039F73E4">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cs="Times New Roman"/>
        </w:rPr>
      </w:pPr>
    </w:p>
    <w:p w14:paraId="1BD6B55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cs="Times New Roman"/>
          <w:sz w:val="28"/>
          <w:szCs w:val="36"/>
        </w:rPr>
      </w:pPr>
      <w:r>
        <w:rPr>
          <w:rFonts w:hint="default" w:ascii="Times New Roman" w:hAnsi="Times New Roman" w:cs="Times New Roman"/>
          <w:sz w:val="28"/>
          <w:szCs w:val="36"/>
        </w:rPr>
        <w:t>cc: Municipal Public Security Bureau, Municipal Tourism, Culture, Radio, Television and Sports Bureau, Municipal Market Supervision Bureau, Municipal Comprehensive Administrative Law Enforcement Bureau.</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3261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10B38B">
                          <w:pPr>
                            <w:pStyle w:val="2"/>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 xml:space="preserve">— </w:t>
                          </w:r>
                          <w:r>
                            <w:rPr>
                              <w:rFonts w:hint="eastAsia" w:ascii="仿宋_GB2312" w:hAnsi="仿宋_GB2312" w:eastAsia="仿宋_GB2312" w:cs="仿宋_GB2312"/>
                              <w:b/>
                              <w:bCs/>
                              <w:sz w:val="24"/>
                              <w:szCs w:val="24"/>
                              <w:lang w:eastAsia="zh-CN"/>
                            </w:rPr>
                            <w:fldChar w:fldCharType="begin"/>
                          </w:r>
                          <w:r>
                            <w:rPr>
                              <w:rFonts w:hint="eastAsia" w:ascii="仿宋_GB2312" w:hAnsi="仿宋_GB2312" w:eastAsia="仿宋_GB2312" w:cs="仿宋_GB2312"/>
                              <w:b/>
                              <w:bCs/>
                              <w:sz w:val="24"/>
                              <w:szCs w:val="24"/>
                              <w:lang w:eastAsia="zh-CN"/>
                            </w:rPr>
                            <w:instrText xml:space="preserve"> PAGE  \* MERGEFORMAT </w:instrText>
                          </w:r>
                          <w:r>
                            <w:rPr>
                              <w:rFonts w:hint="eastAsia" w:ascii="仿宋_GB2312" w:hAnsi="仿宋_GB2312" w:eastAsia="仿宋_GB2312" w:cs="仿宋_GB2312"/>
                              <w:b/>
                              <w:bCs/>
                              <w:sz w:val="24"/>
                              <w:szCs w:val="24"/>
                              <w:lang w:eastAsia="zh-CN"/>
                            </w:rPr>
                            <w:fldChar w:fldCharType="separate"/>
                          </w:r>
                          <w:r>
                            <w:rPr>
                              <w:rFonts w:hint="eastAsia" w:ascii="仿宋_GB2312" w:hAnsi="仿宋_GB2312" w:eastAsia="仿宋_GB2312" w:cs="仿宋_GB2312"/>
                              <w:b/>
                              <w:bCs/>
                              <w:sz w:val="24"/>
                              <w:szCs w:val="24"/>
                              <w:lang w:eastAsia="zh-CN"/>
                            </w:rPr>
                            <w:t>1</w:t>
                          </w:r>
                          <w:r>
                            <w:rPr>
                              <w:rFonts w:hint="eastAsia" w:ascii="仿宋_GB2312" w:hAnsi="仿宋_GB2312" w:eastAsia="仿宋_GB2312" w:cs="仿宋_GB2312"/>
                              <w:b/>
                              <w:bCs/>
                              <w:sz w:val="24"/>
                              <w:szCs w:val="24"/>
                              <w:lang w:eastAsia="zh-CN"/>
                            </w:rPr>
                            <w:fldChar w:fldCharType="end"/>
                          </w:r>
                          <w:r>
                            <w:rPr>
                              <w:rFonts w:hint="eastAsia" w:ascii="仿宋_GB2312" w:hAnsi="仿宋_GB2312" w:eastAsia="仿宋_GB2312" w:cs="仿宋_GB2312"/>
                              <w:b/>
                              <w:bCs/>
                              <w:sz w:val="24"/>
                              <w:szCs w:val="24"/>
                              <w:lang w:eastAsia="zh-CN"/>
                            </w:rPr>
                            <w:t xml:space="preserve"> —</w:t>
                          </w:r>
                        </w:p>
                        <w:p w14:paraId="7582C1BE">
                          <w:pPr>
                            <w:pStyle w:val="2"/>
                            <w:rPr>
                              <w:rFonts w:hint="eastAsia" w:ascii="仿宋_GB2312" w:hAnsi="仿宋_GB2312" w:eastAsia="仿宋_GB2312" w:cs="仿宋_GB2312"/>
                              <w:b/>
                              <w:bCs/>
                              <w:sz w:val="24"/>
                              <w:szCs w:val="24"/>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10B38B">
                    <w:pPr>
                      <w:pStyle w:val="2"/>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 xml:space="preserve">— </w:t>
                    </w:r>
                    <w:r>
                      <w:rPr>
                        <w:rFonts w:hint="eastAsia" w:ascii="仿宋_GB2312" w:hAnsi="仿宋_GB2312" w:eastAsia="仿宋_GB2312" w:cs="仿宋_GB2312"/>
                        <w:b/>
                        <w:bCs/>
                        <w:sz w:val="24"/>
                        <w:szCs w:val="24"/>
                        <w:lang w:eastAsia="zh-CN"/>
                      </w:rPr>
                      <w:fldChar w:fldCharType="begin"/>
                    </w:r>
                    <w:r>
                      <w:rPr>
                        <w:rFonts w:hint="eastAsia" w:ascii="仿宋_GB2312" w:hAnsi="仿宋_GB2312" w:eastAsia="仿宋_GB2312" w:cs="仿宋_GB2312"/>
                        <w:b/>
                        <w:bCs/>
                        <w:sz w:val="24"/>
                        <w:szCs w:val="24"/>
                        <w:lang w:eastAsia="zh-CN"/>
                      </w:rPr>
                      <w:instrText xml:space="preserve"> PAGE  \* MERGEFORMAT </w:instrText>
                    </w:r>
                    <w:r>
                      <w:rPr>
                        <w:rFonts w:hint="eastAsia" w:ascii="仿宋_GB2312" w:hAnsi="仿宋_GB2312" w:eastAsia="仿宋_GB2312" w:cs="仿宋_GB2312"/>
                        <w:b/>
                        <w:bCs/>
                        <w:sz w:val="24"/>
                        <w:szCs w:val="24"/>
                        <w:lang w:eastAsia="zh-CN"/>
                      </w:rPr>
                      <w:fldChar w:fldCharType="separate"/>
                    </w:r>
                    <w:r>
                      <w:rPr>
                        <w:rFonts w:hint="eastAsia" w:ascii="仿宋_GB2312" w:hAnsi="仿宋_GB2312" w:eastAsia="仿宋_GB2312" w:cs="仿宋_GB2312"/>
                        <w:b/>
                        <w:bCs/>
                        <w:sz w:val="24"/>
                        <w:szCs w:val="24"/>
                        <w:lang w:eastAsia="zh-CN"/>
                      </w:rPr>
                      <w:t>1</w:t>
                    </w:r>
                    <w:r>
                      <w:rPr>
                        <w:rFonts w:hint="eastAsia" w:ascii="仿宋_GB2312" w:hAnsi="仿宋_GB2312" w:eastAsia="仿宋_GB2312" w:cs="仿宋_GB2312"/>
                        <w:b/>
                        <w:bCs/>
                        <w:sz w:val="24"/>
                        <w:szCs w:val="24"/>
                        <w:lang w:eastAsia="zh-CN"/>
                      </w:rPr>
                      <w:fldChar w:fldCharType="end"/>
                    </w:r>
                    <w:r>
                      <w:rPr>
                        <w:rFonts w:hint="eastAsia" w:ascii="仿宋_GB2312" w:hAnsi="仿宋_GB2312" w:eastAsia="仿宋_GB2312" w:cs="仿宋_GB2312"/>
                        <w:b/>
                        <w:bCs/>
                        <w:sz w:val="24"/>
                        <w:szCs w:val="24"/>
                        <w:lang w:eastAsia="zh-CN"/>
                      </w:rPr>
                      <w:t xml:space="preserve"> —</w:t>
                    </w:r>
                  </w:p>
                  <w:p w14:paraId="7582C1BE">
                    <w:pPr>
                      <w:pStyle w:val="2"/>
                      <w:rPr>
                        <w:rFonts w:hint="eastAsia" w:ascii="仿宋_GB2312" w:hAnsi="仿宋_GB2312" w:eastAsia="仿宋_GB2312" w:cs="仿宋_GB2312"/>
                        <w:b/>
                        <w:bCs/>
                        <w:sz w:val="24"/>
                        <w:szCs w:val="24"/>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595"/>
    <w:rsid w:val="00537595"/>
    <w:rsid w:val="2DFFE8FC"/>
    <w:rsid w:val="58B21713"/>
    <w:rsid w:val="6FFA2DF6"/>
    <w:rsid w:val="73685BF0"/>
    <w:rsid w:val="792541B8"/>
    <w:rsid w:val="7B430CF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其他</Company>
  <Pages>10</Pages>
  <Words>1584</Words>
  <Characters>10334</Characters>
  <Lines>0</Lines>
  <Paragraphs>0</Paragraphs>
  <TotalTime>5</TotalTime>
  <ScaleCrop>false</ScaleCrop>
  <LinksUpToDate>false</LinksUpToDate>
  <CharactersWithSpaces>11891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2026-04-08T17:26:00Z</dcterms:created>
  <dc:creator>LL</dc:creator>
  <cp:lastModifiedBy>LL</cp:lastModifiedBy>
  <dcterms:modified xsi:type="dcterms:W3CDTF">2026-04-17T09:16:12Z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AEA956A332094E6B9E12024263A227E8_13</vt:lpwstr>
  </property>
  <property fmtid="{D5CDD505-2E9C-101B-9397-08002B2CF9AE}" pid="4" name="KSOTemplateDocerSaveRecord">
    <vt:lpwstr>eyJoZGlkIjoiOTY5YzVjYTE5MWJjMzBiODg5OGQ4YjkxNWI5NDdmNmEiLCJ1c2VySWQiOiI3MTg5NDkxMzAifQ==</vt:lpwstr>
  </property>
</Properties>
</file>