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2024年三亚市医疗紧急救援中心</w:t>
      </w:r>
    </w:p>
    <w:p>
      <w:pPr>
        <w:jc w:val="center"/>
        <w:rPr>
          <w:sz w:val="52"/>
          <w:szCs w:val="52"/>
        </w:rPr>
      </w:pP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三亚市医疗紧急救援中心</w:t>
      </w:r>
      <w:bookmarkStart w:id="0" w:name="_GoBack"/>
      <w:bookmarkEnd w:id="0"/>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单位机构设置</w:t>
      </w:r>
    </w:p>
    <w:p>
      <w:pPr>
        <w:pStyle w:val="8"/>
        <w:numPr>
          <w:ilvl w:val="0"/>
          <w:numId w:val="1"/>
        </w:numPr>
        <w:ind w:firstLineChars="0"/>
        <w:rPr>
          <w:rFonts w:ascii="黑体" w:hAnsi="黑体" w:eastAsia="黑体"/>
          <w:sz w:val="32"/>
          <w:szCs w:val="32"/>
        </w:rPr>
      </w:pPr>
      <w:r>
        <w:rPr>
          <w:rFonts w:hint="eastAsia" w:ascii="仿宋_GB2312" w:hAnsi="黑体" w:eastAsia="仿宋_GB2312" w:cs="仿宋_GB2312"/>
          <w:sz w:val="32"/>
          <w:szCs w:val="32"/>
        </w:rPr>
        <w:t>三亚市医疗紧急救援中心2024</w:t>
      </w:r>
      <w:r>
        <w:rPr>
          <w:rFonts w:hint="eastAsia" w:ascii="黑体" w:hAnsi="黑体" w:eastAsia="黑体"/>
          <w:sz w:val="32"/>
          <w:szCs w:val="32"/>
        </w:rPr>
        <w:t>年单位预算表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三亚市医疗紧急救援中心2024</w:t>
      </w:r>
      <w:r>
        <w:rPr>
          <w:rFonts w:hint="eastAsia" w:ascii="黑体" w:hAnsi="黑体" w:eastAsia="黑体"/>
          <w:sz w:val="32"/>
          <w:szCs w:val="32"/>
        </w:rPr>
        <w:t>年单位预算情况说明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仿宋_GB2312" w:hAnsi="黑体" w:eastAsia="仿宋_GB2312" w:cs="仿宋_GB2312"/>
          <w:sz w:val="32"/>
          <w:szCs w:val="32"/>
        </w:rPr>
        <w:t>三亚市医疗紧急救援中心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8"/>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负责社会医疗急救、突发性公共卫生事件与意外灾害等医疗急救工作的组织、指挥和调度。</w:t>
      </w:r>
    </w:p>
    <w:p>
      <w:pPr>
        <w:pStyle w:val="8"/>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建立医疗救治相应的应急系统和制度措施，保证社会急救网络的正常运作。</w:t>
      </w:r>
    </w:p>
    <w:p>
      <w:pPr>
        <w:pStyle w:val="8"/>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实行24小时值班制（含节假日），设立“120”呼救专线电话，接受呼救。根据实际情况及时组织、指挥和调度急救工作，处理、收集和贮存社会急救信息，并与公安“110”、火警“119”、交警“122”建立联动网络。</w:t>
      </w:r>
    </w:p>
    <w:p>
      <w:pPr>
        <w:pStyle w:val="8"/>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医疗救治指挥中心必须根据求救者的实际情况和指定医院的地理位置、救治条件等，按医疗急救就近、快捷、专科优势，为危急病人争取时间，及时有效地抢救急、危、重伤病员，提高抢救成功率。</w:t>
      </w:r>
    </w:p>
    <w:p>
      <w:pPr>
        <w:pStyle w:val="8"/>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承办上级部门和领导交办的其他任务。</w:t>
      </w:r>
    </w:p>
    <w:p>
      <w:pPr>
        <w:numPr>
          <w:ilvl w:val="-1"/>
          <w:numId w:val="0"/>
        </w:numPr>
        <w:ind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二、单位机构设置</w:t>
      </w:r>
    </w:p>
    <w:p>
      <w:pPr>
        <w:numPr>
          <w:ilvl w:val="-1"/>
          <w:numId w:val="0"/>
        </w:num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三亚市医疗紧急救援中心单位编制10人，内设2个科室，分别是：办公室、指挥厅。</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三亚市医疗紧急救援中心2024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三亚市医疗紧急救援中心2024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一、关于三亚市医疗紧急救援中心2024年财政拨款收支预算情况的总体说明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三亚市医疗紧急救援中心2024年财政拨款收支总预算</w:t>
      </w:r>
      <w:r>
        <w:rPr>
          <w:rFonts w:hint="eastAsia" w:ascii="仿宋_GB2312" w:hAnsi="黑体" w:eastAsia="仿宋_GB2312" w:cs="仿宋_GB2312"/>
          <w:sz w:val="32"/>
          <w:szCs w:val="32"/>
          <w:lang w:val="en-US" w:eastAsia="zh-CN"/>
        </w:rPr>
        <w:t>463.52</w:t>
      </w:r>
      <w:r>
        <w:rPr>
          <w:rFonts w:hint="eastAsia" w:ascii="仿宋_GB2312" w:hAnsi="黑体" w:eastAsia="仿宋_GB2312"/>
          <w:sz w:val="32"/>
          <w:szCs w:val="32"/>
        </w:rPr>
        <w:t>万元。其中，收入总计463.52万元，包括一般公共预算本年收入</w:t>
      </w:r>
      <w:r>
        <w:rPr>
          <w:rFonts w:hint="eastAsia" w:ascii="仿宋_GB2312" w:hAnsi="黑体" w:eastAsia="仿宋_GB2312" w:cs="仿宋_GB2312"/>
          <w:sz w:val="32"/>
          <w:szCs w:val="32"/>
        </w:rPr>
        <w:t>463.52</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万元；支出总计463.52万元，包括社会保障和就业支出74.58万元、卫生健康支出368.77万元、住房保障支出20.18万元，结转下年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二、关于三亚市医疗紧急救援中心2024年一般公共预算当年拨款情况说明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三亚市医疗紧急救援中心2024年一般公共预算当年拨款</w:t>
      </w:r>
      <w:r>
        <w:rPr>
          <w:rFonts w:hint="eastAsia" w:ascii="仿宋_GB2312" w:hAnsi="黑体" w:eastAsia="仿宋_GB2312" w:cs="仿宋_GB2312"/>
          <w:sz w:val="32"/>
          <w:szCs w:val="32"/>
        </w:rPr>
        <w:t>463.52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增加44.55</w:t>
      </w:r>
      <w:r>
        <w:rPr>
          <w:rFonts w:hint="eastAsia" w:ascii="仿宋_GB2312" w:hAnsi="黑体" w:eastAsia="仿宋_GB2312"/>
          <w:sz w:val="32"/>
          <w:szCs w:val="32"/>
        </w:rPr>
        <w:t>万元，主要是设备（装备）购置与运行费用增加9万元，用于救护车5G卡网络运行维护费；社保基数增加，人员经费增加。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社会保障和就业支出74.58万元，占16.9%；卫生健康支出368.77元，占79.56%；住房保障支出20.18万元，占3.54%。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1.社会保障和就业支出（类）行政事业单位养老支出（款）机关事业单位基本养老保险缴费支出（项）2024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23.34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增加2.95</w:t>
      </w:r>
      <w:r>
        <w:rPr>
          <w:rFonts w:hint="eastAsia" w:ascii="仿宋_GB2312" w:hAnsi="黑体" w:eastAsia="仿宋_GB2312"/>
          <w:sz w:val="32"/>
          <w:szCs w:val="32"/>
        </w:rPr>
        <w:t>万元，主要是2024年人员工资较2023年有所增加，事业单位基本养老保险缴费由系统自动生成；</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社会保障和就业支出（类）行政事业单位养老支出（款）机关事业单位职业年金缴费支出（项）2024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51.24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增加11.47</w:t>
      </w:r>
      <w:r>
        <w:rPr>
          <w:rFonts w:hint="eastAsia" w:ascii="仿宋_GB2312" w:hAnsi="黑体" w:eastAsia="仿宋_GB2312"/>
          <w:sz w:val="32"/>
          <w:szCs w:val="32"/>
        </w:rPr>
        <w:t>万元，主要是本年度需要补缴2020-2021年职业年金，正常缴纳2024年职业年金。</w:t>
      </w:r>
    </w:p>
    <w:p>
      <w:pPr>
        <w:numPr>
          <w:ilvl w:val="-1"/>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卫生健康支出（类）卫生健康管理事务（款）其他卫生健康管理事务支出（项）2024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342.4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增加25.8</w:t>
      </w:r>
      <w:r>
        <w:rPr>
          <w:rFonts w:hint="eastAsia" w:ascii="仿宋_GB2312" w:hAnsi="黑体" w:eastAsia="仿宋_GB2312"/>
          <w:sz w:val="32"/>
          <w:szCs w:val="32"/>
        </w:rPr>
        <w:t>万元，主要是设备（装备）购置与运行费用增加9万元，用于救护车5G卡网络运行维护费；</w:t>
      </w:r>
    </w:p>
    <w:p>
      <w:pPr>
        <w:numPr>
          <w:ilvl w:val="-1"/>
          <w:numId w:val="0"/>
        </w:num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卫生健康支出（类）行政事业单位医疗（款）事业单位医疗（项）2024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9.56</w:t>
      </w:r>
      <w:r>
        <w:rPr>
          <w:rFonts w:hint="eastAsia" w:ascii="仿宋_GB2312" w:hAnsi="黑体" w:eastAsia="仿宋_GB2312"/>
          <w:sz w:val="32"/>
          <w:szCs w:val="32"/>
        </w:rPr>
        <w:t>万元，比上年预算数增加1.31万元，主要是2024年人员工资较2023年有所增加，事业单位医疗保险缴费由系统自动生成；</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卫生健康支出（类）行政事业单位医疗（款）公务员医疗补助（项）2024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16.81</w:t>
      </w:r>
      <w:r>
        <w:rPr>
          <w:rFonts w:hint="eastAsia" w:ascii="仿宋_GB2312" w:hAnsi="黑体" w:eastAsia="仿宋_GB2312"/>
          <w:sz w:val="32"/>
          <w:szCs w:val="32"/>
        </w:rPr>
        <w:t>万元，比上年预算数增加1.37万元，主要是公务员医疗补助由系统自动生成， 2024年人员工资较2023年有所增加。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住房保障支出（类）住房改革支出（款）住房公积金（项）2024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20.18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增加1.65</w:t>
      </w:r>
      <w:r>
        <w:rPr>
          <w:rFonts w:hint="eastAsia" w:ascii="仿宋_GB2312" w:hAnsi="黑体" w:eastAsia="仿宋_GB2312"/>
          <w:sz w:val="32"/>
          <w:szCs w:val="32"/>
        </w:rPr>
        <w:t>万元，主要是2024年人员工资较2023年有所增加，住房公积金由系统自动生成。</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rPr>
        <w:t>三亚市医疗紧急救援中心2024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三亚市医疗紧急救援中心2024年一般公共预算基本支出为</w:t>
      </w:r>
      <w:r>
        <w:rPr>
          <w:rFonts w:hint="eastAsia" w:ascii="仿宋_GB2312" w:hAnsi="黑体" w:eastAsia="仿宋_GB2312" w:cs="仿宋_GB2312"/>
          <w:sz w:val="32"/>
          <w:szCs w:val="32"/>
        </w:rPr>
        <w:t>384.95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367.53</w:t>
      </w:r>
      <w:r>
        <w:rPr>
          <w:rFonts w:hint="eastAsia" w:ascii="仿宋_GB2312" w:hAnsi="黑体" w:eastAsia="仿宋_GB2312"/>
          <w:sz w:val="32"/>
          <w:szCs w:val="32"/>
        </w:rPr>
        <w:t>万元，主要包括：基本工资、津贴补贴、奖金、绩效工资、机关事业单位基本养老保险缴费、职业年金缴费、职工基本医疗保险缴费、公务员医疗补助缴费、其他社会保障缴费、住房公积金、医疗费、其他工资福利支出、邮电费、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17.42</w:t>
      </w:r>
      <w:r>
        <w:rPr>
          <w:rFonts w:hint="eastAsia" w:ascii="仿宋_GB2312" w:hAnsi="黑体" w:eastAsia="仿宋_GB2312"/>
          <w:sz w:val="32"/>
          <w:szCs w:val="32"/>
        </w:rPr>
        <w:t>万元，主要包括：其他社会保障缴费、办公费、会议费、培训费、工会经费、福利费、公务用车运行维护费、其他商品和服务支出。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rPr>
        <w:t>三亚市医疗紧急救援中心2024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（一）三亚市医疗紧急救援中心2024年一般公共预算“三公”经费预算数为</w:t>
      </w:r>
      <w:r>
        <w:rPr>
          <w:rFonts w:hint="eastAsia" w:ascii="仿宋_GB2312" w:hAnsi="黑体" w:eastAsia="仿宋_GB2312" w:cs="仿宋_GB2312"/>
          <w:sz w:val="32"/>
          <w:szCs w:val="32"/>
        </w:rPr>
        <w:t>1.65</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1.65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1.65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numPr>
          <w:ilvl w:val="0"/>
          <w:numId w:val="7"/>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三亚市医疗紧急救援中心2024年政府性基金预算“三公”经费预算数为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numPr>
          <w:ilvl w:val="-1"/>
          <w:numId w:val="0"/>
        </w:numPr>
        <w:ind w:firstLine="0" w:firstLineChars="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rPr>
        <w:t>三亚市医疗紧急救援中心2024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三亚市医疗紧急救援中心2024年政府性基金预算当年拨款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万元，2024年政府性基金预算当年支出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rPr>
        <w:t>三亚市医疗紧急救援中心2024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按照综合预算原则，三亚市医疗紧急救援中心所有收入和支出均纳入部门预算管理。收入包括：一般公共预算收入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rPr>
        <w:t>三亚市医疗紧急救援中心2024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463.52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rPr>
        <w:t>三亚市医疗紧急救援中心2024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三亚市医疗紧急救援中心2024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463.52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463.52</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增加44.55</w:t>
      </w:r>
      <w:r>
        <w:rPr>
          <w:rFonts w:hint="eastAsia" w:ascii="仿宋_GB2312" w:hAnsi="黑体" w:eastAsia="仿宋_GB2312"/>
          <w:sz w:val="32"/>
          <w:szCs w:val="32"/>
        </w:rPr>
        <w:t>万元，主要是设备（装备）购置与运行费用拨款增加9万元，人员经费预算增加。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rPr>
        <w:t>三亚市医疗紧急救援中心2024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三亚市医疗紧急救援中心2024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463.52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384.95</w:t>
      </w:r>
      <w:r>
        <w:rPr>
          <w:rFonts w:hint="eastAsia" w:ascii="仿宋_GB2312" w:hAnsi="黑体" w:eastAsia="仿宋_GB2312"/>
          <w:sz w:val="32"/>
          <w:szCs w:val="32"/>
        </w:rPr>
        <w:t>万元，占</w:t>
      </w:r>
      <w:r>
        <w:rPr>
          <w:rFonts w:hint="eastAsia" w:ascii="仿宋_GB2312" w:hAnsi="黑体" w:eastAsia="仿宋_GB2312" w:cs="仿宋_GB2312"/>
          <w:sz w:val="32"/>
          <w:szCs w:val="32"/>
        </w:rPr>
        <w:t>83.05</w:t>
      </w:r>
      <w:r>
        <w:rPr>
          <w:rFonts w:hint="eastAsia" w:ascii="仿宋_GB2312" w:hAnsi="黑体" w:eastAsia="仿宋_GB2312"/>
          <w:sz w:val="32"/>
          <w:szCs w:val="32"/>
        </w:rPr>
        <w:t>%；项目支出</w:t>
      </w:r>
      <w:r>
        <w:rPr>
          <w:rFonts w:hint="eastAsia" w:ascii="仿宋_GB2312" w:hAnsi="黑体" w:eastAsia="仿宋_GB2312" w:cs="仿宋_GB2312"/>
          <w:sz w:val="32"/>
          <w:szCs w:val="32"/>
        </w:rPr>
        <w:t>78.57</w:t>
      </w:r>
      <w:r>
        <w:rPr>
          <w:rFonts w:hint="eastAsia" w:ascii="仿宋_GB2312" w:hAnsi="黑体" w:eastAsia="仿宋_GB2312"/>
          <w:sz w:val="32"/>
          <w:szCs w:val="32"/>
        </w:rPr>
        <w:t>万元，占</w:t>
      </w:r>
      <w:r>
        <w:rPr>
          <w:rFonts w:hint="eastAsia" w:ascii="仿宋_GB2312" w:hAnsi="黑体" w:eastAsia="仿宋_GB2312" w:cs="仿宋_GB2312"/>
          <w:sz w:val="32"/>
          <w:szCs w:val="32"/>
        </w:rPr>
        <w:t>16.95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增加44.55</w:t>
      </w:r>
      <w:r>
        <w:rPr>
          <w:rFonts w:hint="eastAsia" w:ascii="仿宋_GB2312" w:hAnsi="黑体" w:eastAsia="仿宋_GB2312"/>
          <w:sz w:val="32"/>
          <w:szCs w:val="32"/>
        </w:rPr>
        <w:t>万元，主要是设备（装备）购置与运行费用增加9万元，用于救护车5G卡网络运行维护费；人员经费支出增加。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2024年三亚市医疗紧急救援中心政府采购预算总额9.4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9.4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w:t>
      </w:r>
      <w:r>
        <w:rPr>
          <w:rFonts w:hint="eastAsia" w:ascii="仿宋_GB2312" w:hAnsi="黑体" w:eastAsia="仿宋_GB2312"/>
          <w:sz w:val="32"/>
          <w:szCs w:val="32"/>
        </w:rPr>
        <w:t>年12月31日，</w:t>
      </w:r>
      <w:r>
        <w:rPr>
          <w:rFonts w:hint="eastAsia" w:ascii="仿宋_GB2312" w:hAnsi="黑体" w:eastAsia="仿宋_GB2312" w:cs="仿宋_GB2312"/>
          <w:sz w:val="32"/>
          <w:szCs w:val="32"/>
        </w:rPr>
        <w:t>三亚市医疗紧急救援中心共有车辆1辆，其中，其他用车1辆。单位价值100万元以上设备0台（套）。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2024年三亚市医疗紧急救援中心2个项目实行绩效目标管理，涉及一般公共预算78.57</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其中，重点项目预算绩效情况：</w:t>
      </w:r>
    </w:p>
    <w:p>
      <w:pPr>
        <w:numPr>
          <w:ilvl w:val="0"/>
          <w:numId w:val="8"/>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综合运行事务项目，预算安排63.57万元，主要用于单位日常开支、办公场所租赁、采购固定资产等支出。绩效目标是建立完善的经费保障机制，保障单位正常运转，设备能够及时更新；开展技能培训，提高从业人员业务能力，确保救援中心工作顺利开展。</w:t>
      </w:r>
    </w:p>
    <w:p>
      <w:pPr>
        <w:numPr>
          <w:ilvl w:val="0"/>
          <w:numId w:val="8"/>
        </w:num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设备（装备）购置与运行维护项目，预算安排15万元，主要用于网络租赁、5G车载卡租赁、指挥厅信息系统维护等支出。绩效目标是确保单位光纤通讯畅通联系，信息系统正常运转。</w:t>
      </w:r>
    </w:p>
    <w:p>
      <w:pPr>
        <w:ind w:firstLine="640" w:firstLineChars="200"/>
        <w:rPr>
          <w:rFonts w:hint="eastAsia" w:ascii="仿宋_GB2312" w:hAnsi="黑体" w:eastAsia="仿宋_GB2312"/>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Noto Sans CJK JP Medium">
    <w:altName w:val="宋体"/>
    <w:panose1 w:val="00000000000000000000"/>
    <w:charset w:val="86"/>
    <w:family w:val="swiss"/>
    <w:pitch w:val="default"/>
    <w:sig w:usb0="00000000" w:usb1="00000000" w:usb2="00000016" w:usb3="00000000" w:csb0="602E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088875"/>
    <w:multiLevelType w:val="singleLevel"/>
    <w:tmpl w:val="C9088875"/>
    <w:lvl w:ilvl="0" w:tentative="0">
      <w:start w:val="1"/>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D415A9"/>
    <w:multiLevelType w:val="singleLevel"/>
    <w:tmpl w:val="0DD415A9"/>
    <w:lvl w:ilvl="0" w:tentative="0">
      <w:start w:val="2"/>
      <w:numFmt w:val="chineseCounting"/>
      <w:suff w:val="nothing"/>
      <w:lvlText w:val="（%1）"/>
      <w:lvlJc w:val="left"/>
      <w:rPr>
        <w:rFonts w:hint="eastAsia"/>
      </w:rPr>
    </w:lvl>
  </w:abstractNum>
  <w:abstractNum w:abstractNumId="3">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A1NDMwNWY4ZTVjYzU1NGRlMzkwZGY3MWIyYmVjYWMifQ=="/>
  </w:docVars>
  <w:rsids>
    <w:rsidRoot w:val="001445BA"/>
    <w:rsid w:val="000D4034"/>
    <w:rsid w:val="00124283"/>
    <w:rsid w:val="001445BA"/>
    <w:rsid w:val="001F230B"/>
    <w:rsid w:val="003E4CB4"/>
    <w:rsid w:val="00475164"/>
    <w:rsid w:val="0058360B"/>
    <w:rsid w:val="00593BCE"/>
    <w:rsid w:val="00615E44"/>
    <w:rsid w:val="0062647D"/>
    <w:rsid w:val="007505D8"/>
    <w:rsid w:val="00783C75"/>
    <w:rsid w:val="008100A2"/>
    <w:rsid w:val="008723F4"/>
    <w:rsid w:val="00881652"/>
    <w:rsid w:val="00883A2B"/>
    <w:rsid w:val="00895BFA"/>
    <w:rsid w:val="008C2033"/>
    <w:rsid w:val="008F0449"/>
    <w:rsid w:val="009119DB"/>
    <w:rsid w:val="00986FC1"/>
    <w:rsid w:val="009B26C6"/>
    <w:rsid w:val="009E03CA"/>
    <w:rsid w:val="009F7801"/>
    <w:rsid w:val="00A34DD3"/>
    <w:rsid w:val="00A52A6A"/>
    <w:rsid w:val="00C17020"/>
    <w:rsid w:val="00C9439A"/>
    <w:rsid w:val="00D36E01"/>
    <w:rsid w:val="00D6436F"/>
    <w:rsid w:val="00F8701F"/>
    <w:rsid w:val="153C6BA1"/>
    <w:rsid w:val="19D5DA33"/>
    <w:rsid w:val="1FBF8E30"/>
    <w:rsid w:val="2BDF0DC0"/>
    <w:rsid w:val="2FF7110D"/>
    <w:rsid w:val="2FFFCED3"/>
    <w:rsid w:val="3102234B"/>
    <w:rsid w:val="3F7FB4B5"/>
    <w:rsid w:val="3FAD4D11"/>
    <w:rsid w:val="420109D2"/>
    <w:rsid w:val="4824065F"/>
    <w:rsid w:val="4FB80849"/>
    <w:rsid w:val="5DB7E539"/>
    <w:rsid w:val="66DACB0B"/>
    <w:rsid w:val="69381328"/>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semiHidden/>
    <w:unhideWhenUsed/>
    <w:qFormat/>
    <w:uiPriority w:val="0"/>
    <w:pPr>
      <w:spacing w:before="200" w:after="160" w:line="360" w:lineRule="auto"/>
      <w:outlineLvl w:val="1"/>
    </w:pPr>
    <w:rPr>
      <w:rFonts w:ascii="宋体" w:hAnsi="宋体" w:cs="Noto Sans CJK JP Medium"/>
      <w:szCs w:val="30"/>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0"/>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批注框文本 Char"/>
    <w:basedOn w:val="7"/>
    <w:link w:val="3"/>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166C2-C828-4E24-8B86-01F6CEC45D20}">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598</Words>
  <Characters>3412</Characters>
  <Lines>28</Lines>
  <Paragraphs>8</Paragraphs>
  <TotalTime>2</TotalTime>
  <ScaleCrop>false</ScaleCrop>
  <LinksUpToDate>false</LinksUpToDate>
  <CharactersWithSpaces>4002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卢秋月</cp:lastModifiedBy>
  <dcterms:modified xsi:type="dcterms:W3CDTF">2024-02-04T03:05:28Z</dcterms:modified>
  <dc:title>××年××部门（单位）预算</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7317EFBA20294E2288C4E4E5C08E70A1_12</vt:lpwstr>
  </property>
</Properties>
</file>