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Theme="minorEastAsia" w:hAnsiTheme="minorEastAsia" w:eastAsiaTheme="minorEastAsia"/>
          <w:b/>
          <w:sz w:val="84"/>
          <w:szCs w:val="84"/>
        </w:rPr>
      </w:pPr>
      <w:r>
        <w:rPr>
          <w:rFonts w:hint="eastAsia" w:asciiTheme="minorEastAsia" w:hAnsiTheme="minorEastAsia" w:eastAsiaTheme="minorEastAsia"/>
          <w:b/>
          <w:sz w:val="52"/>
          <w:szCs w:val="52"/>
        </w:rPr>
        <w:t>2024年三亚市人民医院单位预算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三亚市人民医院</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0"/>
        </w:numPr>
        <w:ind w:leftChars="0"/>
        <w:jc w:val="left"/>
        <w:rPr>
          <w:rFonts w:hint="eastAsia" w:ascii="黑体" w:hAnsi="黑体" w:eastAsia="黑体"/>
          <w:sz w:val="32"/>
          <w:szCs w:val="32"/>
          <w:lang w:eastAsia="zh-CN"/>
        </w:rPr>
      </w:pPr>
      <w:r>
        <w:rPr>
          <w:rFonts w:hint="eastAsia" w:ascii="黑体" w:hAnsi="黑体" w:eastAsia="黑体"/>
          <w:sz w:val="32"/>
          <w:szCs w:val="32"/>
          <w:lang w:eastAsia="zh-CN"/>
        </w:rPr>
        <w:t>二、单位机构设置</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三亚市人民医院2024</w:t>
      </w:r>
      <w:r>
        <w:rPr>
          <w:rFonts w:hint="eastAsia" w:ascii="黑体" w:hAnsi="黑体" w:eastAsia="黑体"/>
          <w:sz w:val="32"/>
          <w:szCs w:val="32"/>
        </w:rPr>
        <w:t>年预算表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单位支出总表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三亚市人民医院2024</w:t>
      </w:r>
      <w:r>
        <w:rPr>
          <w:rFonts w:hint="eastAsia" w:ascii="黑体" w:hAnsi="黑体" w:eastAsia="黑体"/>
          <w:sz w:val="32"/>
          <w:szCs w:val="32"/>
        </w:rPr>
        <w:t>年预算情况说明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三亚市人民医院</w:t>
      </w:r>
      <w:r>
        <w:rPr>
          <w:rFonts w:hint="eastAsia" w:ascii="黑体" w:hAnsi="黑体" w:eastAsia="黑体"/>
          <w:sz w:val="32"/>
          <w:szCs w:val="32"/>
        </w:rPr>
        <w:t>概况</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（一）贯彻落实新时期我国卫生与健康工作方针，坚持公益性，保障人民群众健康，推动医院各方面工作健康发展。</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（二）为人民群众提供医疗保健、疾病预防、健康教育、健康科普等医疗和一定的公共卫生服务。</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（三）承担院校医学教育、毕业后医学教育（含住院医师规范化培训、专科医师规范化培训）和继续医学教育，不断提升医学人才能力素质和工作水平。</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（四）开展临床医学和基础医学研究，推动医学科技成果转化。</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（五）按照举办主体和有关部门批准的范围开展对外技术交流和国际合作。</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（六）按照举办主体和有关部门批准的范围开展涉外医疗服务，承担重大活动医疗保障任务，承担突发公共事件的医疗卫生救助。</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（七）根据规划和需求，经三亚市人民政府和有关部门批准，可与社会力量合作举办新的非营利性医疗机构或在人才、管理、服务、技术、品牌等方面建立协议合作关系。</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（八）经三亚市人民政府和有关部门批准，与相关医疗机构组成医联体或医共体，推动形成基层首诊、双向转诊、急慢分治、上下联动的分级诊疗模式。</w:t>
      </w:r>
    </w:p>
    <w:p>
      <w:pPr>
        <w:pStyle w:val="7"/>
        <w:ind w:firstLine="560"/>
        <w:jc w:val="left"/>
        <w:rPr>
          <w:rFonts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（九）开展对口帮扶、送医下乡等健康扶贫和志愿者服务工作。</w:t>
      </w:r>
    </w:p>
    <w:p>
      <w:pPr>
        <w:pStyle w:val="7"/>
        <w:ind w:firstLineChars="0"/>
        <w:jc w:val="left"/>
        <w:rPr>
          <w:rFonts w:hint="eastAsia" w:cs="仿宋_GB2312" w:asciiTheme="minorEastAsia" w:hAnsiTheme="minorEastAsia" w:eastAsiaTheme="minorEastAsia"/>
          <w:sz w:val="28"/>
          <w:szCs w:val="32"/>
        </w:rPr>
      </w:pPr>
      <w:r>
        <w:rPr>
          <w:rFonts w:hint="eastAsia" w:cs="仿宋_GB2312" w:asciiTheme="minorEastAsia" w:hAnsiTheme="minorEastAsia" w:eastAsiaTheme="minorEastAsia"/>
          <w:sz w:val="28"/>
          <w:szCs w:val="32"/>
        </w:rPr>
        <w:t>（十）承担上级党委和政府交办的其他事项。</w:t>
      </w:r>
    </w:p>
    <w:p>
      <w:pPr>
        <w:pStyle w:val="7"/>
        <w:ind w:firstLineChars="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二、单位机构设置</w:t>
      </w:r>
    </w:p>
    <w:p>
      <w:pPr>
        <w:pStyle w:val="7"/>
        <w:keepNext w:val="0"/>
        <w:keepLines w:val="0"/>
        <w:pageBreakBefore w:val="0"/>
        <w:widowControl w:val="0"/>
        <w:kinsoku/>
        <w:wordWrap/>
        <w:overflowPunct/>
        <w:topLinePunct w:val="0"/>
        <w:autoSpaceDE/>
        <w:autoSpaceDN/>
        <w:bidi w:val="0"/>
        <w:adjustRightInd/>
        <w:snapToGrid/>
        <w:ind w:firstLine="420" w:firstLineChars="0"/>
        <w:jc w:val="both"/>
        <w:textAlignment w:val="auto"/>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（一）医院设立</w:t>
      </w:r>
      <w:bookmarkStart w:id="0" w:name="_GoBack"/>
      <w:bookmarkEnd w:id="0"/>
      <w:r>
        <w:rPr>
          <w:rFonts w:hint="eastAsia" w:cs="仿宋_GB2312" w:asciiTheme="minorEastAsia" w:hAnsiTheme="minorEastAsia" w:eastAsiaTheme="minorEastAsia"/>
          <w:sz w:val="32"/>
          <w:szCs w:val="32"/>
          <w:lang w:eastAsia="zh-CN"/>
        </w:rPr>
        <w:t>中国共产党</w:t>
      </w:r>
      <w:r>
        <w:rPr>
          <w:rFonts w:hint="eastAsia" w:cs="仿宋_GB2312" w:asciiTheme="minorEastAsia" w:hAnsiTheme="minorEastAsia" w:eastAsiaTheme="minorEastAsia"/>
          <w:sz w:val="32"/>
          <w:szCs w:val="32"/>
        </w:rPr>
        <w:t>三亚市人民医院委员会，发挥把方向、管大局、促改革、保落实的领导作用；</w:t>
      </w:r>
    </w:p>
    <w:p>
      <w:pPr>
        <w:pStyle w:val="7"/>
        <w:keepNext w:val="0"/>
        <w:keepLines w:val="0"/>
        <w:pageBreakBefore w:val="0"/>
        <w:widowControl w:val="0"/>
        <w:kinsoku/>
        <w:wordWrap/>
        <w:overflowPunct/>
        <w:topLinePunct w:val="0"/>
        <w:autoSpaceDE/>
        <w:autoSpaceDN/>
        <w:bidi w:val="0"/>
        <w:adjustRightInd/>
        <w:snapToGrid/>
        <w:ind w:firstLine="420" w:firstLineChars="0"/>
        <w:jc w:val="both"/>
        <w:textAlignment w:val="auto"/>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（二）医院设院长1名。院长是医院运营管理的第一责任人，在医院党委领导下，全面负责医院医疗、教学、科研、行政管理工作，为医院的法定代表人；</w:t>
      </w:r>
    </w:p>
    <w:p>
      <w:pPr>
        <w:pStyle w:val="7"/>
        <w:keepNext w:val="0"/>
        <w:keepLines w:val="0"/>
        <w:pageBreakBefore w:val="0"/>
        <w:widowControl w:val="0"/>
        <w:kinsoku/>
        <w:wordWrap/>
        <w:overflowPunct/>
        <w:topLinePunct w:val="0"/>
        <w:autoSpaceDE/>
        <w:autoSpaceDN/>
        <w:bidi w:val="0"/>
        <w:adjustRightInd/>
        <w:snapToGrid/>
        <w:ind w:firstLine="420" w:firstLineChars="0"/>
        <w:jc w:val="both"/>
        <w:textAlignment w:val="auto"/>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三）医院内部管理机构设有21个管理部门，分别为：党委办公室、组织人事部、宣传统战部、纪检监察部、工会、院长办公室、审计部、事业拓展部、运营管理部、信息中心、教学科研部、医保部、后勤保障部、财务部、干部保健部、医务部、护理部、院感公卫部、质量控制部、门诊部；</w:t>
      </w:r>
    </w:p>
    <w:p>
      <w:pPr>
        <w:pStyle w:val="7"/>
        <w:keepNext w:val="0"/>
        <w:keepLines w:val="0"/>
        <w:pageBreakBefore w:val="0"/>
        <w:widowControl w:val="0"/>
        <w:kinsoku/>
        <w:wordWrap/>
        <w:overflowPunct/>
        <w:topLinePunct w:val="0"/>
        <w:autoSpaceDE/>
        <w:autoSpaceDN/>
        <w:bidi w:val="0"/>
        <w:adjustRightInd/>
        <w:snapToGrid/>
        <w:ind w:firstLine="420" w:firstLineChars="0"/>
        <w:jc w:val="both"/>
        <w:textAlignment w:val="auto"/>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四）医院分为4大医疗业务系统，包括大内科系统、大外科系统、医技系统及其他业务科室；其中，大内科系统包括心血管内科、内分泌代谢科、消化内科、呼吸内科、肿瘤放疗科、肿瘤血液内科、神经内科、老年病科、全科医学科、肾病/风湿免疫科、重症医学科、中医科、儿科、新生儿科、康复医学科、皮肤病/医疗美容科16个科室；大外科系统包括神经外科、骨科、泌尿外科、心胸外科、普外一科、普外二科、脑血管病/血管外科、妇产科、眼科、耳鼻咽喉头颈外科、麻醉手术中心11个科室；医技医疗系统包括放射科、超声科、病理科、检验科/中心实验室、药学部、临床营养科、输血科、心脑功能科、消毒供应室9个科室；其他业务科室包括急诊科、口腔科、健康管理中心、发热门诊/肠道门诊、法医鉴定中心5个科室。</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三亚市人民医院2024年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三亚市人民医院2024年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三亚市人民医院2024年</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三亚市人民医院2024年财政拨款收支总预算</w:t>
      </w:r>
      <w:r>
        <w:rPr>
          <w:rFonts w:ascii="仿宋_GB2312" w:hAnsi="黑体" w:eastAsia="仿宋_GB2312" w:cs="仿宋_GB2312"/>
          <w:sz w:val="32"/>
          <w:szCs w:val="32"/>
        </w:rPr>
        <w:t>41,755.53</w:t>
      </w:r>
      <w:r>
        <w:rPr>
          <w:rFonts w:hint="eastAsia" w:ascii="仿宋_GB2312" w:hAnsi="黑体" w:eastAsia="仿宋_GB2312"/>
          <w:sz w:val="32"/>
          <w:szCs w:val="32"/>
        </w:rPr>
        <w:t>万元。其中，收入总计</w:t>
      </w:r>
      <w:r>
        <w:rPr>
          <w:rFonts w:ascii="仿宋_GB2312" w:hAnsi="黑体" w:eastAsia="仿宋_GB2312" w:cs="仿宋_GB2312"/>
          <w:sz w:val="32"/>
          <w:szCs w:val="32"/>
        </w:rPr>
        <w:t>41,755.53</w:t>
      </w:r>
      <w:r>
        <w:rPr>
          <w:rFonts w:hint="eastAsia" w:ascii="仿宋_GB2312" w:hAnsi="黑体" w:eastAsia="仿宋_GB2312"/>
          <w:sz w:val="32"/>
          <w:szCs w:val="32"/>
        </w:rPr>
        <w:t>万元，包括一般公共预算本年收入</w:t>
      </w:r>
      <w:r>
        <w:rPr>
          <w:rFonts w:ascii="仿宋_GB2312" w:hAnsi="黑体" w:eastAsia="仿宋_GB2312" w:cs="仿宋_GB2312"/>
          <w:sz w:val="32"/>
          <w:szCs w:val="32"/>
        </w:rPr>
        <w:t>35,842.56</w:t>
      </w:r>
      <w:r>
        <w:rPr>
          <w:rFonts w:hint="eastAsia" w:ascii="仿宋_GB2312" w:hAnsi="黑体" w:eastAsia="仿宋_GB2312"/>
          <w:sz w:val="32"/>
          <w:szCs w:val="32"/>
        </w:rPr>
        <w:t>万元、上年结转</w:t>
      </w:r>
      <w:r>
        <w:rPr>
          <w:rFonts w:ascii="仿宋_GB2312" w:hAnsi="黑体" w:eastAsia="仿宋_GB2312" w:cs="仿宋_GB2312"/>
          <w:sz w:val="32"/>
          <w:szCs w:val="32"/>
        </w:rPr>
        <w:t>5,912.97</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ascii="仿宋_GB2312" w:hAnsi="黑体" w:eastAsia="仿宋_GB2312" w:cs="仿宋_GB2312"/>
          <w:sz w:val="32"/>
          <w:szCs w:val="32"/>
        </w:rPr>
        <w:t>41755.53</w:t>
      </w:r>
      <w:r>
        <w:rPr>
          <w:rFonts w:hint="eastAsia" w:ascii="仿宋_GB2312" w:hAnsi="黑体" w:eastAsia="仿宋_GB2312"/>
          <w:sz w:val="32"/>
          <w:szCs w:val="32"/>
        </w:rPr>
        <w:t>万元，包括社会保障和就业支出</w:t>
      </w:r>
      <w:r>
        <w:rPr>
          <w:rFonts w:ascii="仿宋_GB2312" w:hAnsi="黑体" w:eastAsia="仿宋_GB2312" w:cs="仿宋_GB2312"/>
          <w:sz w:val="32"/>
          <w:szCs w:val="32"/>
        </w:rPr>
        <w:t>2,091.13</w:t>
      </w:r>
      <w:r>
        <w:rPr>
          <w:rFonts w:hint="eastAsia" w:ascii="仿宋_GB2312" w:hAnsi="黑体" w:eastAsia="仿宋_GB2312"/>
          <w:sz w:val="32"/>
          <w:szCs w:val="32"/>
        </w:rPr>
        <w:t>万元、卫生健康支出</w:t>
      </w:r>
      <w:r>
        <w:rPr>
          <w:rFonts w:ascii="仿宋_GB2312" w:hAnsi="黑体" w:eastAsia="仿宋_GB2312"/>
          <w:sz w:val="32"/>
          <w:szCs w:val="32"/>
        </w:rPr>
        <w:t>39,664.40</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三亚市人民医院2024年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三亚市人民医院2024年一般公共预算当年拨款</w:t>
      </w:r>
      <w:r>
        <w:rPr>
          <w:rFonts w:ascii="仿宋_GB2312" w:hAnsi="黑体" w:eastAsia="仿宋_GB2312" w:cs="仿宋_GB2312"/>
          <w:sz w:val="32"/>
          <w:szCs w:val="32"/>
        </w:rPr>
        <w:t>35</w:t>
      </w:r>
      <w:r>
        <w:rPr>
          <w:rFonts w:hint="eastAsia" w:ascii="仿宋_GB2312" w:hAnsi="黑体" w:eastAsia="仿宋_GB2312" w:cs="仿宋_GB2312"/>
          <w:sz w:val="32"/>
          <w:szCs w:val="32"/>
        </w:rPr>
        <w:t>,</w:t>
      </w:r>
      <w:r>
        <w:rPr>
          <w:rFonts w:ascii="仿宋_GB2312" w:hAnsi="黑体" w:eastAsia="仿宋_GB2312" w:cs="仿宋_GB2312"/>
          <w:sz w:val="32"/>
          <w:szCs w:val="32"/>
        </w:rPr>
        <w:t>842.56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增加7917.56</w:t>
      </w:r>
      <w:r>
        <w:rPr>
          <w:rFonts w:hint="eastAsia" w:ascii="仿宋_GB2312" w:hAnsi="黑体" w:eastAsia="仿宋_GB2312"/>
          <w:sz w:val="32"/>
          <w:szCs w:val="32"/>
        </w:rPr>
        <w:t>万元，主要是卫生健康支出预算有所增加。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ascii="仿宋" w:hAnsi="仿宋" w:eastAsia="仿宋"/>
          <w:sz w:val="32"/>
          <w:szCs w:val="32"/>
        </w:rPr>
      </w:pPr>
      <w:r>
        <w:rPr>
          <w:rFonts w:hint="eastAsia" w:ascii="仿宋" w:hAnsi="仿宋" w:eastAsia="仿宋"/>
          <w:sz w:val="32"/>
          <w:szCs w:val="32"/>
        </w:rPr>
        <w:t>社会保障和就业支出（类）</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091.13</w:t>
      </w:r>
      <w:r>
        <w:rPr>
          <w:rFonts w:hint="eastAsia" w:ascii="仿宋" w:hAnsi="仿宋" w:eastAsia="仿宋"/>
          <w:sz w:val="32"/>
          <w:szCs w:val="32"/>
        </w:rPr>
        <w:t>万元，占5.01%；卫生健康支出（类）</w:t>
      </w:r>
      <w:r>
        <w:rPr>
          <w:rFonts w:ascii="仿宋" w:hAnsi="仿宋" w:eastAsia="仿宋"/>
          <w:sz w:val="32"/>
          <w:szCs w:val="32"/>
        </w:rPr>
        <w:t>39</w:t>
      </w:r>
      <w:r>
        <w:rPr>
          <w:rFonts w:hint="eastAsia" w:ascii="仿宋" w:hAnsi="仿宋" w:eastAsia="仿宋"/>
          <w:sz w:val="32"/>
          <w:szCs w:val="32"/>
        </w:rPr>
        <w:t>,</w:t>
      </w:r>
      <w:r>
        <w:rPr>
          <w:rFonts w:ascii="仿宋" w:hAnsi="仿宋" w:eastAsia="仿宋"/>
          <w:sz w:val="32"/>
          <w:szCs w:val="32"/>
        </w:rPr>
        <w:t>664.4</w:t>
      </w:r>
      <w:r>
        <w:rPr>
          <w:rFonts w:hint="eastAsia" w:ascii="仿宋" w:hAnsi="仿宋" w:eastAsia="仿宋"/>
          <w:sz w:val="32"/>
          <w:szCs w:val="32"/>
        </w:rPr>
        <w:t>万元，占94.99%。</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1.社会保障和就业支出（类）行政事业单位养老支出（款）机关事业单位基本养老保险缴费支出（项）2024年预算数为1,393.89万元，比去年预算数减少43.89万元，主要是单位本级在编人员的基本养老保险费用调整。</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2. 社会保障和就业支出（类）行政事业单位养老支出（款）机关事业单位职业年金缴费支出（项）2024年预算数为697.24万元,比去年预算数增加22.24万元，主要是单位本级在编人员的职业年金费用调整。</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3.卫生健康支出（类）公立医院（款）综合医院（项）2024年预算数为39,040.67万元，比去年预算数增加12981.03万元，主要是单位医疗保障及卫生健康发展费用。</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4.卫生健康支出（类）公立医院（款）其妇幼保健医院（项）2024年预算数为2万元，比去年预算数增加2万元，主要是妇幼保健医院支出增加。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5.卫生健康支出（类）公共卫生（款）基本公共卫生服务（项）2024年预算数为22.46万元，比去年预算数增加21.15万元，主要是基本公共卫生服务支出增加。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6.卫生健康支出（类）公共卫生（款）重大公共卫生服务（项）2024年预算数为523.87万元，比去年预算数增加462.41万元，主要是重大公共卫生服务费用增加。</w:t>
      </w:r>
    </w:p>
    <w:p>
      <w:pPr>
        <w:ind w:firstLine="640"/>
        <w:rPr>
          <w:rFonts w:ascii="仿宋_GB2312" w:hAnsi="黑体" w:eastAsia="仿宋_GB2312" w:cs="仿宋_GB2312"/>
          <w:sz w:val="32"/>
          <w:szCs w:val="32"/>
        </w:rPr>
      </w:pPr>
      <w:r>
        <w:rPr>
          <w:rFonts w:hint="eastAsia" w:ascii="仿宋_GB2312" w:hAnsi="黑体" w:eastAsia="仿宋_GB2312" w:cs="仿宋_GB2312"/>
          <w:sz w:val="32"/>
          <w:szCs w:val="32"/>
        </w:rPr>
        <w:t>7.卫生健康支出（类）公共卫生（款）其他公共卫生支出（项）2024年预算数为75.40万元，比去年预算数减少0.77万元，主要是其他公共卫生支出费用减少。</w:t>
      </w:r>
    </w:p>
    <w:p>
      <w:pPr>
        <w:ind w:firstLine="640"/>
        <w:rPr>
          <w:rFonts w:ascii="黑体" w:hAnsi="黑体" w:eastAsia="黑体"/>
          <w:sz w:val="32"/>
          <w:szCs w:val="32"/>
        </w:rPr>
      </w:pPr>
      <w:r>
        <w:rPr>
          <w:rFonts w:hint="eastAsia" w:ascii="黑体" w:hAnsi="黑体" w:eastAsia="黑体"/>
          <w:sz w:val="32"/>
          <w:szCs w:val="32"/>
        </w:rPr>
        <w:t>三、关于三亚市人民医院2024年一般公共预算基本支出情况说明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三亚市人民医院单位2024年无一般公共预算基本支出预算。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三亚市人民医院2024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（一）三亚市人民医院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320" w:firstLineChars="100"/>
        <w:rPr>
          <w:rFonts w:hint="eastAsia" w:ascii="仿宋_GB2312" w:hAnsi="黑体" w:eastAsia="仿宋_GB2312"/>
          <w:sz w:val="32"/>
          <w:szCs w:val="32"/>
          <w:lang w:eastAsia="zh-CN"/>
        </w:rPr>
      </w:pPr>
      <w:r>
        <w:rPr>
          <w:rFonts w:hint="eastAsia" w:ascii="仿宋_GB2312" w:hAnsi="黑体" w:eastAsia="仿宋_GB2312"/>
          <w:sz w:val="32"/>
          <w:szCs w:val="32"/>
        </w:rPr>
        <w:t>（二）三亚市人民医院</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p>
    <w:p>
      <w:pPr>
        <w:rPr>
          <w:rFonts w:ascii="仿宋_GB2312" w:hAnsi="黑体" w:eastAsia="仿宋_GB2312"/>
          <w:sz w:val="32"/>
          <w:szCs w:val="32"/>
        </w:rPr>
      </w:pPr>
      <w:r>
        <w:rPr>
          <w:rFonts w:hint="eastAsia" w:ascii="Times New Roman" w:hAnsi="Times New Roman" w:eastAsia="仿宋_GB2312" w:cs="Times New Roman"/>
          <w:sz w:val="32"/>
          <w:shd w:val="clear" w:color="auto" w:fill="FFFFFF"/>
          <w:lang w:val="en-US" w:eastAsia="zh-CN"/>
        </w:rPr>
        <w:t xml:space="preserve">     </w:t>
      </w: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年预算持平。根据</w:t>
      </w:r>
      <w:r>
        <w:rPr>
          <w:rFonts w:hint="eastAsia" w:ascii="Times New Roman" w:hAnsi="Times New Roman" w:eastAsia="仿宋_GB2312" w:cs="Times New Roman"/>
          <w:sz w:val="32"/>
          <w:shd w:val="clear" w:color="auto" w:fill="FFFFFF"/>
          <w:lang w:eastAsia="zh-CN"/>
        </w:rPr>
        <w:t>三亚外事办</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rPr>
        <w:t>三亚市人民医院2024年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jc w:val="left"/>
        <w:rPr>
          <w:rFonts w:hint="eastAsia" w:ascii="仿宋_GB2312" w:hAnsi="黑体" w:eastAsia="仿宋_GB2312"/>
          <w:sz w:val="32"/>
          <w:szCs w:val="32"/>
        </w:rPr>
      </w:pPr>
      <w:r>
        <w:rPr>
          <w:rFonts w:hint="eastAsia" w:ascii="仿宋_GB2312" w:hAnsi="黑体" w:eastAsia="仿宋_GB2312"/>
          <w:sz w:val="32"/>
          <w:szCs w:val="32"/>
        </w:rPr>
        <w:t>三亚市人民医院2024年无政府性基金预算，比上年预算数减少0.36万元。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三亚市人民医院2024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三亚市人民医院2024年所有收入和支出均纳入部门预算管理。收入包括：一般公共预算收入、一般公共预算收入上年结转；支出包括：社会保障和就业支出、卫生健康支出。三亚市人民医院单位2024年收支总预算</w:t>
      </w:r>
      <w:r>
        <w:rPr>
          <w:rFonts w:hint="eastAsia" w:ascii="仿宋_GB2312" w:hAnsi="黑体" w:eastAsia="仿宋_GB2312" w:cs="仿宋_GB2312"/>
          <w:sz w:val="32"/>
          <w:szCs w:val="32"/>
          <w:lang w:val="en-US" w:eastAsia="zh-CN"/>
        </w:rPr>
        <w:t>106,370.87</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三亚市人民医院2024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三亚市人民医院2024年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106,370.87</w:t>
      </w:r>
      <w:r>
        <w:rPr>
          <w:rFonts w:hint="eastAsia" w:ascii="仿宋_GB2312" w:hAnsi="黑体" w:eastAsia="仿宋_GB2312"/>
          <w:sz w:val="32"/>
          <w:szCs w:val="32"/>
        </w:rPr>
        <w:t>万元，其中：一般公共预算收入</w:t>
      </w:r>
      <w:r>
        <w:rPr>
          <w:rFonts w:ascii="仿宋_GB2312" w:hAnsi="黑体" w:eastAsia="仿宋_GB2312"/>
          <w:sz w:val="32"/>
          <w:szCs w:val="32"/>
        </w:rPr>
        <w:t>35</w:t>
      </w:r>
      <w:r>
        <w:rPr>
          <w:rFonts w:hint="eastAsia" w:ascii="仿宋_GB2312" w:hAnsi="黑体" w:eastAsia="仿宋_GB2312"/>
          <w:sz w:val="32"/>
          <w:szCs w:val="32"/>
        </w:rPr>
        <w:t>,</w:t>
      </w:r>
      <w:r>
        <w:rPr>
          <w:rFonts w:ascii="仿宋_GB2312" w:hAnsi="黑体" w:eastAsia="仿宋_GB2312"/>
          <w:sz w:val="32"/>
          <w:szCs w:val="32"/>
        </w:rPr>
        <w:t>842.56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33.69</w:t>
      </w:r>
      <w:r>
        <w:rPr>
          <w:rFonts w:hint="eastAsia" w:ascii="仿宋_GB2312" w:hAnsi="黑体" w:eastAsia="仿宋_GB2312"/>
          <w:sz w:val="32"/>
          <w:szCs w:val="32"/>
        </w:rPr>
        <w:t>%；</w:t>
      </w:r>
      <w:r>
        <w:rPr>
          <w:rFonts w:hint="eastAsia" w:ascii="仿宋_GB2312" w:hAnsi="黑体" w:eastAsia="仿宋_GB2312"/>
          <w:sz w:val="32"/>
          <w:szCs w:val="32"/>
          <w:lang w:eastAsia="zh-CN"/>
        </w:rPr>
        <w:t>事业性收入</w:t>
      </w:r>
      <w:r>
        <w:rPr>
          <w:rFonts w:hint="eastAsia" w:ascii="仿宋_GB2312" w:hAnsi="黑体" w:eastAsia="仿宋_GB2312"/>
          <w:sz w:val="32"/>
          <w:szCs w:val="32"/>
          <w:lang w:val="en-US" w:eastAsia="zh-CN"/>
        </w:rPr>
        <w:t>64615.34万元，占60.75%；</w:t>
      </w:r>
      <w:r>
        <w:rPr>
          <w:rFonts w:hint="eastAsia" w:ascii="仿宋_GB2312" w:hAnsi="黑体" w:eastAsia="仿宋_GB2312"/>
          <w:sz w:val="32"/>
          <w:szCs w:val="32"/>
        </w:rPr>
        <w:t>上年结转预算收入</w:t>
      </w:r>
      <w:r>
        <w:rPr>
          <w:rFonts w:ascii="仿宋_GB2312" w:hAnsi="黑体" w:eastAsia="仿宋_GB2312"/>
          <w:sz w:val="32"/>
          <w:szCs w:val="32"/>
        </w:rPr>
        <w:t>5</w:t>
      </w:r>
      <w:r>
        <w:rPr>
          <w:rFonts w:hint="eastAsia" w:ascii="仿宋_GB2312" w:hAnsi="黑体" w:eastAsia="仿宋_GB2312"/>
          <w:sz w:val="32"/>
          <w:szCs w:val="32"/>
        </w:rPr>
        <w:t>,</w:t>
      </w:r>
      <w:r>
        <w:rPr>
          <w:rFonts w:ascii="仿宋_GB2312" w:hAnsi="黑体" w:eastAsia="仿宋_GB2312"/>
          <w:sz w:val="32"/>
          <w:szCs w:val="32"/>
        </w:rPr>
        <w:t>912.97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5.6</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77182.82</w:t>
      </w:r>
      <w:r>
        <w:rPr>
          <w:rFonts w:hint="eastAsia" w:ascii="仿宋_GB2312" w:hAnsi="黑体" w:eastAsia="仿宋_GB2312"/>
          <w:sz w:val="32"/>
          <w:szCs w:val="32"/>
        </w:rPr>
        <w:t>万元，主要是三亚市人民医院</w:t>
      </w:r>
      <w:r>
        <w:rPr>
          <w:rFonts w:hint="eastAsia" w:ascii="仿宋_GB2312" w:hAnsi="黑体" w:eastAsia="仿宋_GB2312"/>
          <w:sz w:val="32"/>
          <w:szCs w:val="32"/>
          <w:lang w:eastAsia="zh-CN"/>
        </w:rPr>
        <w:t>增加事业性收入</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三亚市人民医院2024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三亚市人民医院2024年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105323.23</w:t>
      </w:r>
      <w:r>
        <w:rPr>
          <w:rFonts w:hint="eastAsia" w:ascii="仿宋_GB2312" w:hAnsi="黑体" w:eastAsia="仿宋_GB2312"/>
          <w:sz w:val="32"/>
          <w:szCs w:val="32"/>
        </w:rPr>
        <w:t>元，其中：基本支出</w:t>
      </w:r>
      <w:r>
        <w:rPr>
          <w:rFonts w:hint="eastAsia" w:ascii="仿宋_GB2312" w:hAnsi="黑体" w:eastAsia="仿宋_GB2312" w:cs="仿宋_GB2312"/>
          <w:sz w:val="32"/>
          <w:szCs w:val="32"/>
          <w:lang w:val="en-US" w:eastAsia="zh-CN"/>
        </w:rPr>
        <w:t>63567.7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60.35</w:t>
      </w:r>
      <w:r>
        <w:rPr>
          <w:rFonts w:hint="eastAsia" w:ascii="仿宋_GB2312" w:hAnsi="黑体" w:eastAsia="仿宋_GB2312"/>
          <w:sz w:val="32"/>
          <w:szCs w:val="32"/>
        </w:rPr>
        <w:t>%；项目支出</w:t>
      </w:r>
      <w:r>
        <w:rPr>
          <w:rFonts w:ascii="仿宋_GB2312" w:hAnsi="黑体" w:eastAsia="仿宋_GB2312" w:cs="仿宋_GB2312"/>
          <w:sz w:val="32"/>
          <w:szCs w:val="32"/>
        </w:rPr>
        <w:t>41,755.53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39.65</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76135.18</w:t>
      </w:r>
      <w:r>
        <w:rPr>
          <w:rFonts w:hint="eastAsia" w:ascii="仿宋_GB2312" w:hAnsi="黑体" w:eastAsia="仿宋_GB2312"/>
          <w:sz w:val="32"/>
          <w:szCs w:val="32"/>
        </w:rPr>
        <w:t>万元，主要是卫生健康支出有所增加。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2024年三亚市人民医院本级无机关运行经费预算。</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2024年三亚市人民医院本级无政府采购预算。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三亚市人民医院单位预算单位共有车辆6辆，其中，领导干部用车0辆，机要通信应急用车0辆、一般执法执勤用车0辆、特种专业技术用车0辆、其他用车6辆。单位价值100万元以上设备172台。</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2024年三亚市人民医院</w:t>
      </w:r>
      <w:r>
        <w:rPr>
          <w:rFonts w:hint="eastAsia" w:ascii="仿宋_GB2312" w:hAnsi="黑体" w:eastAsia="仿宋_GB2312" w:cs="仿宋_GB2312"/>
          <w:sz w:val="32"/>
          <w:szCs w:val="32"/>
          <w:lang w:val="en-US" w:eastAsia="zh-CN"/>
        </w:rPr>
        <w:t>14</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99410.26</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1.卫生健康发展专项资金</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18598</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安排亚龙湾急救站运营工作经费，华西长驻人员经费，省级肿瘤中心工作经费，征兵体检站建设经费， 助理全科全科转岗师资培训、学员补助等相关费用。</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提高助理全科师资质量，助理全科基地建设，促进继教项目业务发展，临床重点专科建设，优秀退休专家、医生生活及工作、住房补助。</w:t>
      </w:r>
      <w:r>
        <w:rPr>
          <w:rFonts w:hint="eastAsia" w:ascii="仿宋_GB2312" w:hAnsi="黑体" w:eastAsia="仿宋_GB2312" w:cs="仿宋_GB2312"/>
          <w:sz w:val="32"/>
          <w:szCs w:val="32"/>
          <w:u w:val="none"/>
          <w:lang w:eastAsia="zh-CN"/>
        </w:rPr>
        <w:t>。</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sz w:val="32"/>
          <w:szCs w:val="32"/>
          <w:lang w:val="en-US" w:eastAsia="zh-CN"/>
        </w:rPr>
        <w:t>.</w:t>
      </w:r>
      <w:r>
        <w:rPr>
          <w:rFonts w:hint="eastAsia" w:ascii="仿宋_GB2312" w:hAnsi="黑体" w:eastAsia="仿宋_GB2312" w:cs="仿宋_GB2312"/>
          <w:sz w:val="32"/>
          <w:szCs w:val="32"/>
          <w:u w:val="none"/>
        </w:rPr>
        <w:t>紧密型医疗集团吉阳区成员单位经费</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9892.74</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根据《三亚市紧密型医疗集团财务统一管理实施意见（试行）》，安排成员单位经费</w:t>
      </w:r>
      <w:r>
        <w:rPr>
          <w:rFonts w:hint="eastAsia" w:ascii="仿宋_GB2312" w:hAnsi="黑体" w:eastAsia="仿宋_GB2312" w:cs="仿宋_GB2312"/>
          <w:sz w:val="32"/>
          <w:szCs w:val="32"/>
          <w:u w:val="none"/>
          <w:lang w:eastAsia="zh-CN"/>
        </w:rPr>
        <w:t>，绩效目标是保障紧密型医疗集团运行。</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cs="仿宋_GB2312"/>
          <w:sz w:val="32"/>
          <w:szCs w:val="32"/>
          <w:u w:val="none"/>
        </w:rPr>
        <w:t>紧密型医疗集团海棠区成员单位经费</w:t>
      </w:r>
      <w:r>
        <w:rPr>
          <w:rFonts w:hint="eastAsia" w:ascii="仿宋_GB2312" w:hAnsi="黑体" w:eastAsia="仿宋_GB2312" w:cs="仿宋_GB2312"/>
          <w:sz w:val="32"/>
          <w:szCs w:val="32"/>
          <w:u w:val="none"/>
          <w:lang w:eastAsia="zh-CN"/>
        </w:rPr>
        <w:t>项目，预算安排</w:t>
      </w:r>
      <w:r>
        <w:rPr>
          <w:rFonts w:hint="eastAsia" w:ascii="仿宋_GB2312" w:hAnsi="黑体" w:eastAsia="仿宋_GB2312" w:cs="仿宋_GB2312"/>
          <w:sz w:val="32"/>
          <w:szCs w:val="32"/>
          <w:u w:val="none"/>
          <w:lang w:val="en-US" w:eastAsia="zh-CN"/>
        </w:rPr>
        <w:t>3060.69</w:t>
      </w:r>
      <w:r>
        <w:rPr>
          <w:rFonts w:hint="eastAsia" w:ascii="仿宋_GB2312" w:hAnsi="黑体" w:eastAsia="仿宋_GB2312" w:cs="仿宋_GB2312"/>
          <w:sz w:val="32"/>
          <w:szCs w:val="32"/>
          <w:u w:val="none"/>
          <w:lang w:eastAsia="zh-CN"/>
        </w:rPr>
        <w:t>万元，主要用于</w:t>
      </w:r>
      <w:r>
        <w:rPr>
          <w:rFonts w:hint="eastAsia" w:ascii="仿宋_GB2312" w:hAnsi="黑体" w:eastAsia="仿宋_GB2312" w:cs="仿宋_GB2312"/>
          <w:sz w:val="32"/>
          <w:szCs w:val="32"/>
          <w:u w:val="none"/>
        </w:rPr>
        <w:t>根据《三亚市紧密型医疗集团财务统一管理实施意见（试行）》，安排成员单位经费</w:t>
      </w:r>
      <w:r>
        <w:rPr>
          <w:rFonts w:hint="eastAsia" w:ascii="仿宋_GB2312" w:hAnsi="黑体" w:eastAsia="仿宋_GB2312" w:cs="仿宋_GB2312"/>
          <w:sz w:val="32"/>
          <w:szCs w:val="32"/>
          <w:u w:val="none"/>
          <w:lang w:eastAsia="zh-CN"/>
        </w:rPr>
        <w:t>，绩效目标是保障紧密型医疗集团运行。</w:t>
      </w:r>
    </w:p>
    <w:p>
      <w:pPr>
        <w:ind w:firstLine="640" w:firstLineChars="200"/>
        <w:rPr>
          <w:rFonts w:hint="default" w:ascii="仿宋_GB2312" w:hAnsi="黑体" w:eastAsia="仿宋_GB2312" w:cs="仿宋_GB2312"/>
          <w:sz w:val="32"/>
          <w:szCs w:val="32"/>
          <w:u w:val="none"/>
          <w:lang w:val="en-US" w:eastAsia="zh-CN"/>
        </w:rPr>
      </w:pPr>
    </w:p>
    <w:p>
      <w:pPr>
        <w:ind w:firstLine="640" w:firstLineChars="200"/>
        <w:rPr>
          <w:rFonts w:hint="eastAsia" w:ascii="仿宋_GB2312" w:hAnsi="黑体" w:eastAsia="仿宋_GB2312"/>
          <w:sz w:val="32"/>
          <w:szCs w:val="32"/>
        </w:rPr>
      </w:pPr>
    </w:p>
    <w:p>
      <w:pPr>
        <w:ind w:firstLine="640" w:firstLineChars="200"/>
        <w:rPr>
          <w:rFonts w:hint="default" w:ascii="仿宋_GB2312" w:hAnsi="黑体" w:eastAsia="仿宋_GB2312"/>
          <w:sz w:val="32"/>
          <w:szCs w:val="32"/>
          <w:lang w:val="en-US" w:eastAsia="zh-CN"/>
        </w:rPr>
      </w:pP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Medium">
    <w:altName w:val="宋体"/>
    <w:panose1 w:val="00000000000000000000"/>
    <w:charset w:val="86"/>
    <w:family w:val="swiss"/>
    <w:pitch w:val="default"/>
    <w:sig w:usb0="00000000" w:usb1="00000000" w:usb2="00000016" w:usb3="00000000" w:csb0="602E0107"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0D"/>
    <w:rsid w:val="0006291E"/>
    <w:rsid w:val="0009529A"/>
    <w:rsid w:val="00150F0D"/>
    <w:rsid w:val="001E4919"/>
    <w:rsid w:val="00213D5A"/>
    <w:rsid w:val="002C1FC7"/>
    <w:rsid w:val="002E628D"/>
    <w:rsid w:val="0030242D"/>
    <w:rsid w:val="003C74CD"/>
    <w:rsid w:val="003D47B3"/>
    <w:rsid w:val="00450FBA"/>
    <w:rsid w:val="00544238"/>
    <w:rsid w:val="005B59B8"/>
    <w:rsid w:val="006478F1"/>
    <w:rsid w:val="007727C2"/>
    <w:rsid w:val="007B61A2"/>
    <w:rsid w:val="0091009B"/>
    <w:rsid w:val="009248DB"/>
    <w:rsid w:val="009672DE"/>
    <w:rsid w:val="009D5852"/>
    <w:rsid w:val="00A21E68"/>
    <w:rsid w:val="00A624EF"/>
    <w:rsid w:val="00B73580"/>
    <w:rsid w:val="00BA608F"/>
    <w:rsid w:val="00BC71B9"/>
    <w:rsid w:val="00BE7956"/>
    <w:rsid w:val="00D00B83"/>
    <w:rsid w:val="00D024C9"/>
    <w:rsid w:val="00D63DB9"/>
    <w:rsid w:val="00D9392E"/>
    <w:rsid w:val="00DA42CB"/>
    <w:rsid w:val="00E3307C"/>
    <w:rsid w:val="00EE3B31"/>
    <w:rsid w:val="153C6BA1"/>
    <w:rsid w:val="19D5DA33"/>
    <w:rsid w:val="1AED06B2"/>
    <w:rsid w:val="1FBF8E30"/>
    <w:rsid w:val="2BDF0DC0"/>
    <w:rsid w:val="2FF7110D"/>
    <w:rsid w:val="2FFFCED3"/>
    <w:rsid w:val="31A9548C"/>
    <w:rsid w:val="3F7FB4B5"/>
    <w:rsid w:val="3FAD4D11"/>
    <w:rsid w:val="420109D2"/>
    <w:rsid w:val="4824065F"/>
    <w:rsid w:val="4FB80849"/>
    <w:rsid w:val="5DB7E539"/>
    <w:rsid w:val="66DACB0B"/>
    <w:rsid w:val="697BF56A"/>
    <w:rsid w:val="6B6CE30F"/>
    <w:rsid w:val="6C7F1319"/>
    <w:rsid w:val="6DDF74AC"/>
    <w:rsid w:val="6FAF0D8D"/>
    <w:rsid w:val="6FCFCADC"/>
    <w:rsid w:val="6FFA4FE6"/>
    <w:rsid w:val="75FB0B04"/>
    <w:rsid w:val="79F7B683"/>
    <w:rsid w:val="7AE45DD1"/>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semiHidden/>
    <w:unhideWhenUsed/>
    <w:qFormat/>
    <w:uiPriority w:val="0"/>
    <w:pPr>
      <w:spacing w:before="200" w:after="160" w:line="360" w:lineRule="auto"/>
      <w:outlineLvl w:val="1"/>
    </w:pPr>
    <w:rPr>
      <w:rFonts w:ascii="宋体" w:hAnsi="宋体" w:cs="Noto Sans CJK JP Medium"/>
      <w:szCs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611</Words>
  <Characters>3488</Characters>
  <Lines>29</Lines>
  <Paragraphs>8</Paragraphs>
  <TotalTime>0</TotalTime>
  <ScaleCrop>false</ScaleCrop>
  <LinksUpToDate>false</LinksUpToDate>
  <CharactersWithSpaces>4091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2024-02-22T03:31:41Z</dcterms:modified>
  <dc:title>××年××部门（单位）预算</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