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2023</w:t>
      </w:r>
      <w:r>
        <w:rPr>
          <w:rFonts w:hint="eastAsia"/>
          <w:sz w:val="52"/>
          <w:szCs w:val="52"/>
        </w:rPr>
        <w:t>年</w:t>
      </w:r>
      <w:r>
        <w:rPr>
          <w:rFonts w:hint="eastAsia"/>
          <w:sz w:val="52"/>
          <w:szCs w:val="52"/>
          <w:lang w:val="en-US" w:eastAsia="zh-CN"/>
        </w:rPr>
        <w:t>三亚市妇幼保健院（三亚市妇女儿童医院）</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三亚市妇幼保健院（三亚市妇女儿童医院）</w:t>
      </w:r>
      <w:r>
        <w:rPr>
          <w:rFonts w:hint="eastAsia" w:ascii="黑体" w:hAnsi="黑体" w:eastAsia="黑体"/>
          <w:sz w:val="32"/>
          <w:szCs w:val="32"/>
        </w:rPr>
        <w:t>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三亚市妇幼保健院（三亚市妇女儿童医院）</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三亚市妇幼保健院（三亚市妇女儿童医院）</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三亚市妇幼保健院（三亚市妇女儿童医院）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800" w:firstLineChars="250"/>
        <w:rPr>
          <w:rFonts w:hint="eastAsia" w:ascii="仿宋" w:hAnsi="仿宋" w:eastAsia="仿宋" w:cstheme="minorBidi"/>
          <w:i w:val="0"/>
          <w:iCs w:val="0"/>
          <w:caps w:val="0"/>
          <w:spacing w:val="0"/>
          <w:sz w:val="32"/>
          <w:szCs w:val="32"/>
          <w:shd w:val="clear"/>
          <w:lang w:val="en-US" w:eastAsia="zh-CN"/>
        </w:rPr>
      </w:pPr>
      <w:r>
        <w:rPr>
          <w:rFonts w:hint="eastAsia" w:ascii="仿宋" w:hAnsi="仿宋" w:eastAsia="仿宋" w:cstheme="minorBidi"/>
          <w:sz w:val="32"/>
          <w:szCs w:val="32"/>
        </w:rPr>
        <w:t>三亚市妇幼保健院（三亚市妇女儿童医院）是三亚市唯一一所集医疗、保健、教学、科研和康复为一体的地级市妇幼保健院，也是经海南省卫生健康委员会批准的非盈利性医疗保健机构和三亚市城镇职工医疗保险、城镇居民基本医疗保险、新型农村合作医疗定点医疗机构。2019年1月，经海南省卫生健康委员会研究，医院被核定为“三级妇幼保健院”。</w:t>
      </w:r>
      <w:r>
        <w:rPr>
          <w:rFonts w:hint="eastAsia" w:ascii="仿宋" w:hAnsi="仿宋" w:eastAsia="仿宋" w:cstheme="minorBidi"/>
          <w:sz w:val="32"/>
          <w:szCs w:val="32"/>
          <w:lang w:val="en-US" w:eastAsia="zh-CN"/>
        </w:rPr>
        <w:t>2022年7月，</w:t>
      </w:r>
      <w:r>
        <w:rPr>
          <w:rFonts w:hint="eastAsia" w:ascii="仿宋" w:hAnsi="仿宋" w:eastAsia="仿宋" w:cstheme="minorBidi"/>
          <w:i w:val="0"/>
          <w:iCs w:val="0"/>
          <w:caps w:val="0"/>
          <w:spacing w:val="0"/>
          <w:sz w:val="32"/>
          <w:szCs w:val="32"/>
          <w:shd w:val="clear"/>
        </w:rPr>
        <w:t>海南省卫生健康委</w:t>
      </w:r>
      <w:r>
        <w:rPr>
          <w:rFonts w:hint="eastAsia" w:ascii="仿宋" w:hAnsi="仿宋" w:eastAsia="仿宋" w:cstheme="minorBidi"/>
          <w:i w:val="0"/>
          <w:iCs w:val="0"/>
          <w:caps w:val="0"/>
          <w:spacing w:val="0"/>
          <w:sz w:val="32"/>
          <w:szCs w:val="32"/>
          <w:shd w:val="clear"/>
          <w:lang w:val="en-US" w:eastAsia="zh-CN"/>
        </w:rPr>
        <w:t>正式发文，医院获批成为“三级甲等妇幼保健院”。</w:t>
      </w:r>
    </w:p>
    <w:p>
      <w:pPr>
        <w:ind w:firstLine="800" w:firstLineChars="250"/>
        <w:rPr>
          <w:rFonts w:hint="default" w:ascii="仿宋" w:hAnsi="仿宋" w:eastAsia="仿宋" w:cstheme="minorBidi"/>
          <w:i w:val="0"/>
          <w:iCs w:val="0"/>
          <w:caps w:val="0"/>
          <w:spacing w:val="0"/>
          <w:sz w:val="32"/>
          <w:szCs w:val="32"/>
          <w:shd w:val="clear"/>
          <w:lang w:val="en-US" w:eastAsia="zh-CN"/>
        </w:rPr>
      </w:pPr>
    </w:p>
    <w:p>
      <w:pPr>
        <w:ind w:firstLine="640" w:firstLineChars="200"/>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三亚市妇幼保健院（三亚市妇女儿童医院）</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年单位预算表</w:t>
      </w:r>
      <w:r>
        <w:rPr>
          <w:rFonts w:hint="eastAsia" w:ascii="黑体" w:hAnsi="黑体" w:eastAsia="黑体"/>
          <w:sz w:val="32"/>
          <w:szCs w:val="32"/>
          <w:lang w:eastAsia="zh-CN"/>
        </w:rPr>
        <w:t>（</w:t>
      </w:r>
      <w:r>
        <w:rPr>
          <w:rFonts w:hint="eastAsia" w:ascii="黑体" w:hAnsi="黑体" w:eastAsia="黑体"/>
          <w:sz w:val="32"/>
          <w:szCs w:val="32"/>
          <w:lang w:val="en-US" w:eastAsia="zh-CN"/>
        </w:rPr>
        <w:t>在附件1内</w:t>
      </w:r>
      <w:r>
        <w:rPr>
          <w:rFonts w:hint="eastAsia" w:ascii="黑体" w:hAnsi="黑体" w:eastAsia="黑体"/>
          <w:sz w:val="32"/>
          <w:szCs w:val="32"/>
          <w:lang w:eastAsia="zh-CN"/>
        </w:rPr>
        <w:t>）</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val="en-US" w:eastAsia="zh-CN"/>
        </w:rPr>
        <w:t>三亚市妇幼保健院（三亚市妇女儿童医院）</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s="黑体"/>
          <w:b w:val="0"/>
          <w:bCs w:val="0"/>
          <w:color w:val="auto"/>
          <w:sz w:val="32"/>
          <w:szCs w:val="32"/>
          <w:lang w:val="en-US" w:eastAsia="zh-CN"/>
        </w:rPr>
        <w:t>三亚市妇幼保健院（三亚市妇女儿童医院）2023</w:t>
      </w:r>
      <w:r>
        <w:rPr>
          <w:rFonts w:hint="eastAsia" w:ascii="黑体" w:hAnsi="黑体" w:eastAsia="黑体"/>
          <w:color w:val="auto"/>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三亚市妇幼保健院（三亚市妇女儿童医院）2023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10929.67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10929.67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9590.00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952.77</w:t>
      </w:r>
      <w:r>
        <w:rPr>
          <w:rFonts w:hint="eastAsia" w:ascii="仿宋_GB2312" w:hAnsi="黑体" w:eastAsia="仿宋_GB2312"/>
          <w:sz w:val="32"/>
          <w:szCs w:val="32"/>
        </w:rPr>
        <w:t>万元，政府性基金预算上年结转</w:t>
      </w:r>
      <w:r>
        <w:rPr>
          <w:rFonts w:hint="eastAsia" w:ascii="仿宋_GB2312" w:hAnsi="黑体" w:eastAsia="仿宋_GB2312" w:cs="仿宋_GB2312"/>
          <w:sz w:val="32"/>
          <w:szCs w:val="32"/>
          <w:lang w:val="en-US" w:eastAsia="zh-CN"/>
        </w:rPr>
        <w:t>386.9</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10929.67</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2621.00万元，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7782.77万元， 城乡社区支出386.90万元， 其他支出139万元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b w:val="0"/>
          <w:bCs w:val="0"/>
          <w:color w:val="auto"/>
          <w:sz w:val="32"/>
          <w:szCs w:val="32"/>
          <w:lang w:val="en-US" w:eastAsia="zh-CN"/>
        </w:rPr>
        <w:t>三亚市妇幼保健院（三亚市妇女儿童医院）2023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黑体"/>
          <w:b w:val="0"/>
          <w:bCs w:val="0"/>
          <w:sz w:val="32"/>
          <w:szCs w:val="32"/>
          <w:lang w:val="en-US" w:eastAsia="zh-CN"/>
        </w:rPr>
        <w:t>三亚市妇幼保健院（三亚市妇女儿童医院）2023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10542.77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1422.41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因为人才引进与培养项目、职业年金补助项目、基本养老保险补助项目的拨款金额增加。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val="en-US" w:eastAsia="zh-CN"/>
        </w:rPr>
        <w:t>社会保障和就业支出（类）2621.00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24.86</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卫生健康支出（类）7782.77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73.82</w:t>
      </w:r>
      <w:r>
        <w:rPr>
          <w:rFonts w:hint="eastAsia" w:ascii="仿宋_GB2312" w:hAnsi="黑体" w:eastAsia="仿宋_GB2312"/>
          <w:sz w:val="32"/>
          <w:szCs w:val="32"/>
        </w:rPr>
        <w:t>%；</w:t>
      </w:r>
      <w:r>
        <w:rPr>
          <w:rFonts w:hint="eastAsia" w:ascii="仿宋_GB2312" w:hAnsi="黑体" w:eastAsia="仿宋_GB2312"/>
          <w:sz w:val="32"/>
          <w:szCs w:val="32"/>
          <w:lang w:val="en-US" w:eastAsia="zh-CN"/>
        </w:rPr>
        <w:t>其他支出（类）139.00万元，占1.32</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社会保障和就业支出（类）行政事业单位养老支出（款）机关事业单位基本养老保险缴费支出（项）2023年预算数为1840.00万元，比上年预算数增加1368.12万元，主要是因为实有在编人员数量增加342人。</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2.社会保障和就业支出（类）行政事业单位养老支出（款）机关事业单位职业年金缴费支出（项）2023年预算数为781.00万元，比上年预算数增加545.06万元，主要是因为实有在编人员数量增加342人。</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3.卫生健康支出（类）公立医院（款）综合医院（项）2023年预算数为106.81万元，比上年预算数增加106.81万元，主要是因为上年结转的省级财政项目经费。</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4.卫生健康支出（类）公立医院（款）妇幼保健医院（项）2023年预算数为642.38万元，比上年预算数增加642.38万元，主要是因为上年结转的中央级财政项目经费。</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卫生健康支出（类）公共卫生（款）妇幼保健机构（项）2023年预算数为6830.00万元，比上年预算数减少1178.07万元，主要是因为减少了出生缺陷和地中海贫血综合防治经费项目，该项目与卫生健康发展专项资金合并为一个项目。</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6.卫生健康支出（类）公共卫生（款）基本公共卫生服务（项）2023年预算数为69.14万元，比上年预算数减少141.54万元，主要是因为上年结转的中央级和省级财政项目经费变少。</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7.卫生健康支出（类）公共卫生（款）重大公共卫生服务（项）2023年预算数为78.36万元，比上年预算数减少70.43万元，主要是因为上年结转的中央级和省级财政项目经费变少。</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8.卫生健康支出（类）公共卫生（款）其他公共卫生支出（项）2023年预算数为47.09万元，比上年预算数增加47.09万元，主要是因为上年结转的省级财政项目经费。</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9.卫生健康支出（类）医疗保障管理事务（款）医疗保障政策管理（项）2023年预算数为9.00万元，比上年预算数增加9万元，主要是因为上年结转的中央级财政项目经费。</w:t>
      </w:r>
    </w:p>
    <w:p>
      <w:pPr>
        <w:ind w:firstLine="640" w:firstLineChars="200"/>
        <w:rPr>
          <w:rFonts w:hint="default" w:ascii="仿宋_GB2312" w:hAnsi="黑体" w:eastAsia="仿宋_GB2312"/>
          <w:color w:val="auto"/>
          <w:sz w:val="32"/>
          <w:szCs w:val="32"/>
          <w:lang w:val="en-US"/>
        </w:rPr>
      </w:pPr>
      <w:r>
        <w:rPr>
          <w:rFonts w:hint="eastAsia" w:ascii="仿宋_GB2312" w:hAnsi="黑体" w:eastAsia="仿宋_GB2312" w:cs="仿宋_GB2312"/>
          <w:color w:val="auto"/>
          <w:sz w:val="32"/>
          <w:szCs w:val="32"/>
          <w:lang w:val="en-US" w:eastAsia="zh-CN"/>
        </w:rPr>
        <w:t>10.其他支出（类）其他支出（款）其他支出（项）2023年预算数为139.00万元，比上年预算数增加139万元，主要是因为职业年金补助项目经费增加。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三亚市妇幼保健院（三亚市妇女儿童医院）2023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三亚市妇幼保健院（三亚市妇女儿童医院）2023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val="en-US" w:eastAsia="zh-CN"/>
        </w:rPr>
        <w:t>其他社会保障、住房公积金、其他工资福利支出</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万元，主要包括：办公费、咨询费、手续费、水费、电费、印刷费</w:t>
      </w:r>
      <w:r>
        <w:rPr>
          <w:rFonts w:hint="eastAsia" w:ascii="仿宋_GB2312" w:hAnsi="黑体" w:eastAsia="仿宋_GB2312"/>
          <w:sz w:val="32"/>
          <w:szCs w:val="32"/>
          <w:lang w:eastAsia="zh-CN"/>
        </w:rPr>
        <w:t>、邮电费、物业管理费、差旅费、维修(护)费、会议费、培训费、公务接待费、专用材料费、劳务费、工会经费、福利费、公务用车运行维护费、其他商品和服务支出、对个人和家庭的补助、资本性支出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三亚市妇幼保健院（三亚市妇女儿童医院）2023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（一）</w:t>
      </w:r>
      <w:r>
        <w:rPr>
          <w:rFonts w:hint="eastAsia" w:ascii="仿宋_GB2312" w:hAnsi="黑体" w:eastAsia="仿宋_GB2312" w:cs="仿宋_GB2312"/>
          <w:sz w:val="32"/>
          <w:szCs w:val="32"/>
          <w:lang w:val="en-US" w:eastAsia="zh-CN"/>
        </w:rPr>
        <w:t>三亚市妇幼保健院（三亚市妇女儿童医院）2023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cs="仿宋_GB2312"/>
          <w:sz w:val="32"/>
          <w:szCs w:val="32"/>
          <w:lang w:val="en-US" w:eastAsia="zh-CN"/>
        </w:rPr>
        <w:t>三亚市妇幼保健院（三亚市妇女儿童医院）2023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三亚市妇幼保健院（三亚市妇女儿童医院）2023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三亚市妇幼保健院（三亚市妇女儿童医院）2023</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386.90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75.36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因为上年结转的财政项目经费</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城乡社区支出</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386.90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城乡社区支出</w:t>
      </w:r>
      <w:r>
        <w:rPr>
          <w:rFonts w:hint="eastAsia" w:ascii="仿宋_GB2312" w:hAnsi="黑体" w:eastAsia="仿宋_GB2312" w:cs="仿宋_GB2312"/>
          <w:sz w:val="32"/>
          <w:szCs w:val="32"/>
        </w:rPr>
        <w:t>（类）国有土地使用权出让收入安排的支出（款）征地和拆迁补偿支出（项）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386.90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75.36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因为上年结转的财政项目经费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三亚市妇幼保健院（三亚市妇女儿童医院）2023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三亚市妇幼保健院（三亚市妇女儿童医院）</w:t>
      </w:r>
      <w:r>
        <w:rPr>
          <w:rFonts w:hint="eastAsia" w:ascii="仿宋_GB2312" w:hAnsi="黑体" w:eastAsia="仿宋_GB2312" w:cs="仿宋_GB2312"/>
          <w:sz w:val="32"/>
          <w:szCs w:val="32"/>
        </w:rPr>
        <w:t>所有收入和支出均纳入部门预算管理。收入包括：一般公共预算收入、政府性基金收入、事业收入、</w:t>
      </w:r>
      <w:r>
        <w:rPr>
          <w:rFonts w:hint="eastAsia" w:ascii="仿宋_GB2312" w:hAnsi="黑体" w:eastAsia="仿宋_GB2312"/>
          <w:sz w:val="32"/>
          <w:szCs w:val="32"/>
          <w:lang w:val="en-US" w:eastAsia="zh-CN"/>
        </w:rPr>
        <w:t>上年结转</w:t>
      </w:r>
      <w:r>
        <w:rPr>
          <w:rFonts w:hint="eastAsia" w:ascii="仿宋_GB2312" w:hAnsi="黑体" w:eastAsia="仿宋_GB2312"/>
          <w:sz w:val="32"/>
          <w:szCs w:val="32"/>
        </w:rPr>
        <w:t>；支出包括： 社会保障和就业支出、 卫生健康支出、 城乡社区支出、 住房保障支出、 其他支出。</w:t>
      </w:r>
      <w:r>
        <w:rPr>
          <w:rFonts w:hint="eastAsia" w:ascii="仿宋_GB2312" w:hAnsi="黑体" w:eastAsia="仿宋_GB2312" w:cs="仿宋_GB2312"/>
          <w:sz w:val="32"/>
          <w:szCs w:val="32"/>
          <w:lang w:val="en-US" w:eastAsia="zh-CN"/>
        </w:rPr>
        <w:t>三亚市妇幼保健院（三亚市妇女儿童医院）2023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57114.93</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三亚市妇幼保健院（三亚市妇女儿童医院）2023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三亚市妇幼保健院（三亚市妇女儿童医院）2023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57114.93</w:t>
      </w:r>
      <w:r>
        <w:rPr>
          <w:rFonts w:hint="eastAsia" w:ascii="仿宋_GB2312" w:hAnsi="黑体" w:eastAsia="仿宋_GB2312"/>
          <w:sz w:val="32"/>
          <w:szCs w:val="32"/>
        </w:rPr>
        <w:t>万元，其中：</w:t>
      </w:r>
      <w:r>
        <w:rPr>
          <w:rFonts w:hint="eastAsia" w:ascii="仿宋_GB2312" w:hAnsi="黑体" w:eastAsia="仿宋_GB2312"/>
          <w:sz w:val="32"/>
          <w:szCs w:val="32"/>
          <w:lang w:val="en-US" w:eastAsia="zh-CN"/>
        </w:rPr>
        <w:t>一般公共预算拨款收入9590.00万元，占16.79%；事业收入46185.26万元，占80.86%；</w:t>
      </w:r>
      <w:r>
        <w:rPr>
          <w:rFonts w:hint="eastAsia" w:ascii="仿宋_GB2312" w:hAnsi="黑体" w:eastAsia="仿宋_GB2312"/>
          <w:sz w:val="32"/>
          <w:szCs w:val="32"/>
        </w:rPr>
        <w:t>上年结转</w:t>
      </w:r>
      <w:r>
        <w:rPr>
          <w:rFonts w:hint="eastAsia" w:ascii="仿宋_GB2312" w:hAnsi="黑体" w:eastAsia="仿宋_GB2312"/>
          <w:sz w:val="32"/>
          <w:szCs w:val="32"/>
          <w:lang w:val="en-US" w:eastAsia="zh-CN"/>
        </w:rPr>
        <w:t>1339.76万</w:t>
      </w:r>
      <w:r>
        <w:rPr>
          <w:rFonts w:hint="eastAsia" w:ascii="仿宋_GB2312" w:hAnsi="黑体" w:eastAsia="仿宋_GB2312"/>
          <w:sz w:val="32"/>
          <w:szCs w:val="32"/>
        </w:rPr>
        <w:t>元，占</w:t>
      </w:r>
      <w:r>
        <w:rPr>
          <w:rFonts w:hint="eastAsia" w:ascii="仿宋_GB2312" w:hAnsi="黑体" w:eastAsia="仿宋_GB2312" w:cs="仿宋_GB2312"/>
          <w:sz w:val="32"/>
          <w:szCs w:val="32"/>
          <w:lang w:val="en-US" w:eastAsia="zh-CN"/>
        </w:rPr>
        <w:t>2.35</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sz w:val="32"/>
          <w:szCs w:val="32"/>
          <w:lang w:val="en-US" w:eastAsia="zh-CN"/>
        </w:rPr>
        <w:t>6696.48万</w:t>
      </w:r>
      <w:r>
        <w:rPr>
          <w:rFonts w:hint="eastAsia" w:ascii="仿宋_GB2312" w:hAnsi="黑体" w:eastAsia="仿宋_GB2312"/>
          <w:sz w:val="32"/>
          <w:szCs w:val="32"/>
        </w:rPr>
        <w:t>元，主要是</w:t>
      </w:r>
      <w:r>
        <w:rPr>
          <w:rFonts w:hint="eastAsia" w:ascii="仿宋_GB2312" w:hAnsi="黑体" w:eastAsia="仿宋_GB2312"/>
          <w:sz w:val="32"/>
          <w:szCs w:val="32"/>
          <w:lang w:val="en-US" w:eastAsia="zh-CN"/>
        </w:rPr>
        <w:t>因为事业收入增幅较大</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三亚市妇幼保健院（三亚市妇女儿童医院）2023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sz w:val="32"/>
          <w:szCs w:val="32"/>
          <w:lang w:val="en-US" w:eastAsia="zh-CN"/>
        </w:rPr>
        <w:t>三亚市妇幼保健院（三亚市妇女儿童医院）2023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57114.93</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46185.26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80.86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10929.67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19.14</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6696.48</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人员增加、财政项目经费增加、上年结转经费增加</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三亚市妇幼保健院（三亚市妇女儿童医院）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500</w:t>
      </w:r>
      <w:r>
        <w:rPr>
          <w:rFonts w:hint="eastAsia" w:ascii="仿宋_GB2312" w:hAnsi="黑体" w:eastAsia="仿宋_GB2312"/>
          <w:sz w:val="32"/>
          <w:szCs w:val="32"/>
        </w:rPr>
        <w:t>万元，其中：政府采购</w:t>
      </w:r>
      <w:r>
        <w:rPr>
          <w:rFonts w:hint="eastAsia" w:ascii="仿宋_GB2312" w:hAnsi="黑体" w:eastAsia="仿宋_GB2312"/>
          <w:sz w:val="32"/>
          <w:szCs w:val="32"/>
          <w:lang w:val="en-US" w:eastAsia="zh-CN"/>
        </w:rPr>
        <w:t>设备</w:t>
      </w:r>
      <w:r>
        <w:rPr>
          <w:rFonts w:hint="eastAsia" w:ascii="仿宋_GB2312" w:hAnsi="黑体" w:eastAsia="仿宋_GB2312"/>
          <w:sz w:val="32"/>
          <w:szCs w:val="32"/>
        </w:rPr>
        <w:t>预算</w:t>
      </w:r>
      <w:r>
        <w:rPr>
          <w:rFonts w:hint="eastAsia" w:ascii="仿宋_GB2312" w:hAnsi="黑体" w:eastAsia="仿宋_GB2312" w:cs="仿宋_GB2312"/>
          <w:sz w:val="32"/>
          <w:szCs w:val="32"/>
          <w:lang w:val="en-US" w:eastAsia="zh-CN"/>
        </w:rPr>
        <w:t>500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三亚市妇幼保健院（三亚市妇女儿童医院）</w:t>
      </w:r>
      <w:r>
        <w:rPr>
          <w:rFonts w:hint="eastAsia" w:ascii="仿宋_GB2312" w:hAnsi="黑体" w:eastAsia="仿宋_GB2312" w:cs="仿宋_GB2312"/>
          <w:sz w:val="32"/>
          <w:szCs w:val="32"/>
        </w:rPr>
        <w:t>本</w:t>
      </w:r>
      <w:r>
        <w:rPr>
          <w:rFonts w:hint="eastAsia" w:ascii="仿宋_GB2312" w:hAnsi="黑体" w:eastAsia="仿宋_GB2312" w:cs="仿宋_GB2312"/>
          <w:color w:val="auto"/>
          <w:sz w:val="32"/>
          <w:szCs w:val="32"/>
        </w:rPr>
        <w:t>级预算单位共有车辆</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rPr>
        <w:t>辆</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lang w:val="en-US" w:eastAsia="zh-CN"/>
        </w:rPr>
        <w:t>其中</w:t>
      </w:r>
      <w:r>
        <w:rPr>
          <w:rFonts w:hint="eastAsia" w:ascii="仿宋_GB2312" w:hAnsi="黑体" w:eastAsia="仿宋_GB2312" w:cs="仿宋_GB2312"/>
          <w:color w:val="auto"/>
          <w:sz w:val="32"/>
          <w:szCs w:val="32"/>
          <w:lang w:eastAsia="zh-CN"/>
        </w:rPr>
        <w:t>1辆领导干部</w:t>
      </w:r>
      <w:r>
        <w:rPr>
          <w:rFonts w:hint="eastAsia" w:ascii="仿宋_GB2312" w:hAnsi="黑体" w:eastAsia="仿宋_GB2312" w:cs="仿宋_GB2312"/>
          <w:color w:val="auto"/>
          <w:sz w:val="32"/>
          <w:szCs w:val="32"/>
          <w:lang w:val="en-US" w:eastAsia="zh-CN"/>
        </w:rPr>
        <w:t>用</w:t>
      </w:r>
      <w:r>
        <w:rPr>
          <w:rFonts w:hint="eastAsia" w:ascii="仿宋_GB2312" w:hAnsi="黑体" w:eastAsia="仿宋_GB2312" w:cs="仿宋_GB2312"/>
          <w:color w:val="auto"/>
          <w:sz w:val="32"/>
          <w:szCs w:val="32"/>
          <w:lang w:eastAsia="zh-CN"/>
        </w:rPr>
        <w:t>车和1辆特种专业技术用车正在走报废流程）</w:t>
      </w:r>
      <w:r>
        <w:rPr>
          <w:rFonts w:hint="eastAsia" w:ascii="仿宋_GB2312" w:hAnsi="黑体" w:eastAsia="仿宋_GB2312" w:cs="仿宋_GB2312"/>
          <w:color w:val="auto"/>
          <w:sz w:val="32"/>
          <w:szCs w:val="32"/>
        </w:rPr>
        <w:t>，其中，领导干部用车</w:t>
      </w: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仿宋_GB2312" w:hAnsi="黑体" w:eastAsia="仿宋_GB2312" w:cs="仿宋_GB2312"/>
          <w:sz w:val="32"/>
          <w:szCs w:val="32"/>
        </w:rPr>
        <w:t>单位价值100万元以上设备</w:t>
      </w:r>
      <w:r>
        <w:rPr>
          <w:rFonts w:hint="eastAsia" w:ascii="仿宋_GB2312" w:hAnsi="黑体" w:eastAsia="仿宋_GB2312" w:cs="仿宋_GB2312"/>
          <w:sz w:val="32"/>
          <w:szCs w:val="32"/>
          <w:lang w:val="en-US" w:eastAsia="zh-CN"/>
        </w:rPr>
        <w:t>71</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）绩效目标设置情况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三亚市妇幼保健院（三亚市妇女儿童医院）14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9590.00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 xml:space="preserve"> </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Change w:id="0" w:author="CHY燕" w:date="2023-02-21T11:18:48Z">
          <w:pPr>
            <w:ind w:firstLine="640" w:firstLineChars="200"/>
          </w:pPr>
        </w:pPrChange>
      </w:pPr>
      <w:r>
        <w:rPr>
          <w:rFonts w:hint="eastAsia" w:ascii="仿宋_GB2312" w:hAnsi="黑体" w:eastAsia="仿宋_GB2312"/>
          <w:color w:val="000000" w:themeColor="text1"/>
          <w:sz w:val="32"/>
          <w:szCs w:val="32"/>
          <w:lang w:val="en-US" w:eastAsia="zh-CN"/>
          <w14:textFill>
            <w14:solidFill>
              <w14:schemeClr w14:val="tx1"/>
            </w14:solidFill>
          </w14:textFill>
        </w:rPr>
        <w:t>其中</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人才引进与培养</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项目预算数为1500万元，年度目标是加强我院学科建设、人才队伍建设，为我院二期新院培养人才搭建重点学科。绩效目标设置为降低患者出岛就诊率≥100%，权重30%；专家短期坐诊、手术、授课、教学查房≥200人次，权重50%；患者满意度≥90%,权重10%。</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“职业年金补助”项目预算数为920万元，年度目标是减轻公立医院改革后医院负担。绩效目标设置为减轻公立医院改革后医院负担≥100%,权重40%；参保人数≥525人数，权重50%。</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疾病监测防治”项目预算数为8万元，年度目标是艾滋病母婴传播工作，最大程度地减少艾滋病的母婴传播，降低艾滋病对妇女儿童的影响，努力提高妇女、儿童的生活质量及健康水平。绩效目标设置为及时转诊≥100%，权重30%；及时确诊率≥100%，权重50%；受益对象满意度≥98%，权重10%。</w:t>
      </w:r>
    </w:p>
    <w:p>
      <w:pPr>
        <w:jc w:val="center"/>
        <w:rPr>
          <w:rFonts w:ascii="黑体" w:hAnsi="黑体" w:eastAsia="黑体"/>
          <w:color w:val="000000" w:themeColor="text1"/>
          <w:sz w:val="32"/>
          <w:szCs w:val="32"/>
          <w14:textFill>
            <w14:solidFill>
              <w14:schemeClr w14:val="tx1"/>
            </w14:solidFill>
          </w14:textFill>
        </w:rPr>
      </w:pPr>
    </w:p>
    <w:p>
      <w:pPr>
        <w:jc w:val="left"/>
        <w:rPr>
          <w:rFonts w:ascii="仿宋_GB2312" w:hAnsi="宋体" w:eastAsia="仿宋_GB2312" w:cs="宋体"/>
          <w:color w:val="000000" w:themeColor="text1"/>
          <w:kern w:val="0"/>
          <w:sz w:val="32"/>
          <w:szCs w:val="30"/>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  名词解释</w:t>
      </w:r>
    </w:p>
    <w:p>
      <w:pPr>
        <w:ind w:firstLine="640" w:firstLineChars="200"/>
        <w:jc w:val="left"/>
        <w:rPr>
          <w:rFonts w:ascii="仿宋_GB2312" w:eastAsia="仿宋_GB2312" w:cs="宋体"/>
          <w:bCs/>
          <w:color w:val="000000" w:themeColor="text1"/>
          <w:kern w:val="0"/>
          <w:sz w:val="32"/>
          <w:szCs w:val="32"/>
          <w:lang w:val="zh-CN"/>
          <w14:textFill>
            <w14:solidFill>
              <w14:schemeClr w14:val="tx1"/>
            </w14:solidFill>
          </w14:textFill>
        </w:rPr>
      </w:pP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一、财政拨款收入：指本级财政当年拨付的资金。</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二、事业收入：指事业单位开展专业业务活动及辅助活动取得的收入。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四、其他收入：指除上述“财政拨款收入”“事业收入”“经营收入”等以外的收入。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themeColor="text1"/>
          <w:kern w:val="0"/>
          <w:sz w:val="32"/>
          <w:szCs w:val="30"/>
          <w14:textFill>
            <w14:solidFill>
              <w14:schemeClr w14:val="tx1"/>
            </w14:solidFill>
          </w14:textFill>
        </w:rPr>
        <w:t xml:space="preserve">六、基本支出：指行政事业单位用于为保障其机构正常运转、完成日常工作任务而发生的人员支出和公用支出。  </w:t>
      </w:r>
      <w:r>
        <w:rPr>
          <w:rFonts w:hint="eastAsia" w:ascii="仿宋_GB2312" w:hAnsi="宋体" w:eastAsia="仿宋_GB2312" w:cs="宋体"/>
          <w:color w:val="000000"/>
          <w:kern w:val="0"/>
          <w:sz w:val="32"/>
          <w:szCs w:val="30"/>
        </w:rPr>
        <w:t xml:space="preserve">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bookmarkStart w:id="0" w:name="_GoBack"/>
      <w:bookmarkEnd w:id="0"/>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2560" w:firstLineChars="800"/>
        <w:jc w:val="both"/>
        <w:rPr>
          <w:rFonts w:hint="eastAsia" w:ascii="黑体" w:hAnsi="黑体" w:eastAsia="黑体"/>
          <w:b w:val="0"/>
          <w:bCs/>
          <w:color w:val="auto"/>
          <w:sz w:val="32"/>
          <w:szCs w:val="32"/>
          <w:lang w:val="en-US" w:eastAsia="zh-CN"/>
        </w:rPr>
      </w:pPr>
      <w:r>
        <w:rPr>
          <w:rFonts w:hint="eastAsia" w:ascii="黑体" w:hAnsi="黑体" w:eastAsia="黑体"/>
          <w:b w:val="0"/>
          <w:bCs/>
          <w:color w:val="auto"/>
          <w:sz w:val="32"/>
          <w:szCs w:val="32"/>
          <w:lang w:val="en-US" w:eastAsia="zh-CN"/>
        </w:rPr>
        <w:t>三亚市妇幼保健院（三亚市妇女儿童医院）</w:t>
      </w:r>
    </w:p>
    <w:p>
      <w:pPr>
        <w:jc w:val="both"/>
        <w:rPr>
          <w:rFonts w:hint="default" w:ascii="黑体" w:hAnsi="黑体" w:eastAsia="黑体"/>
          <w:b/>
          <w:color w:val="auto"/>
          <w:sz w:val="32"/>
          <w:szCs w:val="32"/>
          <w:lang w:val="en-US" w:eastAsia="zh-CN"/>
        </w:rPr>
      </w:pPr>
      <w:r>
        <w:rPr>
          <w:rFonts w:hint="eastAsia" w:ascii="黑体" w:hAnsi="黑体" w:eastAsia="黑体"/>
          <w:b/>
          <w:color w:val="auto"/>
          <w:sz w:val="32"/>
          <w:szCs w:val="32"/>
          <w:lang w:val="en-US" w:eastAsia="zh-CN"/>
        </w:rPr>
        <w:t xml:space="preserve">                     </w:t>
      </w:r>
      <w:r>
        <w:rPr>
          <w:rFonts w:hint="eastAsia" w:ascii="黑体" w:hAnsi="黑体" w:eastAsia="黑体"/>
          <w:b w:val="0"/>
          <w:bCs/>
          <w:color w:val="auto"/>
          <w:sz w:val="32"/>
          <w:szCs w:val="32"/>
          <w:lang w:val="en-US" w:eastAsia="zh-CN"/>
        </w:rPr>
        <w:t xml:space="preserve">     2023年2月14日</w:t>
      </w: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Y燕">
    <w15:presenceInfo w15:providerId="WPS Office" w15:userId="1018612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GYwYjM4MGFmMWY0NDY3NjNkMGQxM2M0NDIyMWQifQ=="/>
  </w:docVars>
  <w:rsids>
    <w:rsidRoot w:val="00000000"/>
    <w:rsid w:val="003C6DA9"/>
    <w:rsid w:val="00ED7A19"/>
    <w:rsid w:val="01061BB3"/>
    <w:rsid w:val="065344DE"/>
    <w:rsid w:val="0658534C"/>
    <w:rsid w:val="06AF22FA"/>
    <w:rsid w:val="085D7140"/>
    <w:rsid w:val="08A87330"/>
    <w:rsid w:val="08F84004"/>
    <w:rsid w:val="09A20CF6"/>
    <w:rsid w:val="0AA7613E"/>
    <w:rsid w:val="0C577135"/>
    <w:rsid w:val="0CBD3921"/>
    <w:rsid w:val="10472AF3"/>
    <w:rsid w:val="10AF43B1"/>
    <w:rsid w:val="10CD317C"/>
    <w:rsid w:val="10E16B8A"/>
    <w:rsid w:val="125A6BF4"/>
    <w:rsid w:val="12C06C7B"/>
    <w:rsid w:val="13743CE5"/>
    <w:rsid w:val="14A04422"/>
    <w:rsid w:val="157B3BCD"/>
    <w:rsid w:val="15F277DA"/>
    <w:rsid w:val="161935C4"/>
    <w:rsid w:val="16C7117F"/>
    <w:rsid w:val="189819F8"/>
    <w:rsid w:val="19465A03"/>
    <w:rsid w:val="19826C1B"/>
    <w:rsid w:val="19D5DA33"/>
    <w:rsid w:val="1B4167E9"/>
    <w:rsid w:val="1C3B15F0"/>
    <w:rsid w:val="1FBF8E30"/>
    <w:rsid w:val="210C6E17"/>
    <w:rsid w:val="217D645B"/>
    <w:rsid w:val="21DC13D3"/>
    <w:rsid w:val="23A45A17"/>
    <w:rsid w:val="23DB69F7"/>
    <w:rsid w:val="24740231"/>
    <w:rsid w:val="251066EF"/>
    <w:rsid w:val="2BDF0DC0"/>
    <w:rsid w:val="2F2063DB"/>
    <w:rsid w:val="2FF7110D"/>
    <w:rsid w:val="2FFFCED3"/>
    <w:rsid w:val="310D3357"/>
    <w:rsid w:val="332809BC"/>
    <w:rsid w:val="334734A1"/>
    <w:rsid w:val="375744C3"/>
    <w:rsid w:val="38C20002"/>
    <w:rsid w:val="39F94857"/>
    <w:rsid w:val="3A0745CE"/>
    <w:rsid w:val="3A3605AC"/>
    <w:rsid w:val="3ACF6FB6"/>
    <w:rsid w:val="3D5A5643"/>
    <w:rsid w:val="3D81476C"/>
    <w:rsid w:val="3E8C7564"/>
    <w:rsid w:val="3F7FB4B5"/>
    <w:rsid w:val="3FAD4D11"/>
    <w:rsid w:val="417D4C92"/>
    <w:rsid w:val="432C7FE3"/>
    <w:rsid w:val="439E72A5"/>
    <w:rsid w:val="45BA643C"/>
    <w:rsid w:val="46794147"/>
    <w:rsid w:val="469B2D5C"/>
    <w:rsid w:val="47FD16F0"/>
    <w:rsid w:val="484C4889"/>
    <w:rsid w:val="4A2F3EE7"/>
    <w:rsid w:val="4DB9162C"/>
    <w:rsid w:val="4E8C434C"/>
    <w:rsid w:val="4F533F6B"/>
    <w:rsid w:val="4FB80849"/>
    <w:rsid w:val="4FF05EC6"/>
    <w:rsid w:val="51D3784E"/>
    <w:rsid w:val="51FD2FC4"/>
    <w:rsid w:val="53065A01"/>
    <w:rsid w:val="532218CB"/>
    <w:rsid w:val="53354C43"/>
    <w:rsid w:val="55762D85"/>
    <w:rsid w:val="55E55579"/>
    <w:rsid w:val="568E1498"/>
    <w:rsid w:val="57C21EBE"/>
    <w:rsid w:val="5954679C"/>
    <w:rsid w:val="5A3C75BC"/>
    <w:rsid w:val="5AD67942"/>
    <w:rsid w:val="5CFF3271"/>
    <w:rsid w:val="5DB7E539"/>
    <w:rsid w:val="607E49E4"/>
    <w:rsid w:val="61C142B0"/>
    <w:rsid w:val="62461DC7"/>
    <w:rsid w:val="624B01C3"/>
    <w:rsid w:val="631F21BF"/>
    <w:rsid w:val="646507D9"/>
    <w:rsid w:val="66486E76"/>
    <w:rsid w:val="66D21C20"/>
    <w:rsid w:val="66DACB0B"/>
    <w:rsid w:val="673D77EB"/>
    <w:rsid w:val="675608AD"/>
    <w:rsid w:val="68546970"/>
    <w:rsid w:val="694329E1"/>
    <w:rsid w:val="697BF56A"/>
    <w:rsid w:val="699D6E74"/>
    <w:rsid w:val="6B6CE30F"/>
    <w:rsid w:val="6C7F1319"/>
    <w:rsid w:val="6DDE1D98"/>
    <w:rsid w:val="6DDF74AC"/>
    <w:rsid w:val="6EA878E0"/>
    <w:rsid w:val="6EBE52C5"/>
    <w:rsid w:val="6FAF0D8D"/>
    <w:rsid w:val="6FCFCADC"/>
    <w:rsid w:val="6FFA4FE6"/>
    <w:rsid w:val="715A71EC"/>
    <w:rsid w:val="71A464A3"/>
    <w:rsid w:val="73AF381F"/>
    <w:rsid w:val="740A625A"/>
    <w:rsid w:val="741179E0"/>
    <w:rsid w:val="74414391"/>
    <w:rsid w:val="74955986"/>
    <w:rsid w:val="74C90910"/>
    <w:rsid w:val="75F06ACD"/>
    <w:rsid w:val="75FB0B04"/>
    <w:rsid w:val="787A46BA"/>
    <w:rsid w:val="79EB14E3"/>
    <w:rsid w:val="79F7B683"/>
    <w:rsid w:val="7A824ED6"/>
    <w:rsid w:val="7BF06A54"/>
    <w:rsid w:val="7CB56A52"/>
    <w:rsid w:val="7CBC250E"/>
    <w:rsid w:val="7D73BCCE"/>
    <w:rsid w:val="7DE79FA0"/>
    <w:rsid w:val="7DEBCAFF"/>
    <w:rsid w:val="7EDD8B29"/>
    <w:rsid w:val="7F877295"/>
    <w:rsid w:val="7FA514C2"/>
    <w:rsid w:val="7FBC11F8"/>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4300</Words>
  <Characters>4797</Characters>
  <Lines>27</Lines>
  <Paragraphs>7</Paragraphs>
  <TotalTime>4</TotalTime>
  <ScaleCrop>false</ScaleCrop>
  <LinksUpToDate>false</LinksUpToDate>
  <CharactersWithSpaces>4854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CHY燕</cp:lastModifiedBy>
  <dcterms:modified xsi:type="dcterms:W3CDTF">2023-02-21T03:19:12Z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D3A950FB901D42E0B8EAD5C6A1891658</vt:lpwstr>
  </property>
</Properties>
</file>