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2024年三亚市公共卫生临床中心</w:t>
      </w:r>
    </w:p>
    <w:p>
      <w:pPr>
        <w:jc w:val="center"/>
        <w:rPr>
          <w:sz w:val="52"/>
          <w:szCs w:val="52"/>
        </w:rPr>
      </w:pP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三亚市公共卫生临床中心概况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1"/>
          <w:numId w:val="0"/>
        </w:numPr>
        <w:ind w:left="0" w:firstLine="0" w:firstLineChars="0"/>
        <w:rPr>
          <w:rFonts w:ascii="黑体" w:hAnsi="黑体" w:eastAsia="黑体"/>
          <w:sz w:val="32"/>
          <w:szCs w:val="32"/>
        </w:rPr>
      </w:pPr>
      <w:r>
        <w:rPr>
          <w:rFonts w:hint="eastAsia" w:ascii="黑体" w:hAnsi="黑体" w:eastAsia="黑体"/>
          <w:sz w:val="32"/>
          <w:szCs w:val="32"/>
          <w:lang w:eastAsia="zh-CN"/>
        </w:rPr>
        <w:t>二、单位机构设置</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三亚市公共卫生临床中心预算表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三亚市公共卫生临床中心2024年预算情况说明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三亚市公共卫生临床中心概况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概况</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亚市公共卫生临床中心（以下简称公卫临床中心）是公益一类事业单位、三级传染病专科医院，隶属于三亚市卫生健康委员会，2020年8月10日开工建设，2023年7月28日投入使用。公卫临床中心位于海南省三亚市吉阳区吉阳大道高新技术产业园东侧，占地36亩，建筑面积43673平方米，建设有1栋门诊医技楼、1栋住院楼和1栋综合楼，项目总投资约</w:t>
      </w:r>
      <w:r>
        <w:rPr>
          <w:rFonts w:ascii="仿宋_GB2312" w:hAnsi="仿宋_GB2312" w:eastAsia="仿宋_GB2312" w:cs="仿宋_GB2312"/>
          <w:sz w:val="32"/>
          <w:szCs w:val="32"/>
        </w:rPr>
        <w:t>5.6</w:t>
      </w:r>
      <w:r>
        <w:rPr>
          <w:rFonts w:hint="eastAsia" w:ascii="仿宋_GB2312" w:hAnsi="仿宋_GB2312" w:eastAsia="仿宋_GB2312" w:cs="仿宋_GB2312"/>
          <w:sz w:val="32"/>
          <w:szCs w:val="32"/>
        </w:rPr>
        <w:t>亿元。公卫临床中心目前依托三亚中心医院（海南省第三人民医院）运营管理。</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公卫临床中心以“医防融合、平战结合”作为功能定位</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以</w:t>
      </w:r>
      <w:r>
        <w:rPr>
          <w:rFonts w:ascii="仿宋_GB2312" w:hAnsi="仿宋_GB2312" w:eastAsia="仿宋_GB2312" w:cs="仿宋_GB2312"/>
          <w:sz w:val="32"/>
          <w:szCs w:val="32"/>
        </w:rPr>
        <w:t>“</w:t>
      </w:r>
      <w:r>
        <w:rPr>
          <w:rFonts w:ascii="仿宋_GB2312" w:hAnsi="仿宋_GB2312" w:eastAsia="仿宋_GB2312" w:cs="仿宋_GB2312"/>
          <w:color w:val="000000"/>
          <w:sz w:val="32"/>
          <w:szCs w:val="32"/>
        </w:rPr>
        <w:t>强综合、精专科”</w:t>
      </w:r>
      <w:r>
        <w:rPr>
          <w:rFonts w:hint="eastAsia" w:ascii="仿宋_GB2312" w:hAnsi="仿宋_GB2312" w:eastAsia="仿宋_GB2312" w:cs="仿宋_GB2312"/>
          <w:color w:val="000000"/>
          <w:sz w:val="32"/>
          <w:szCs w:val="32"/>
        </w:rPr>
        <w:t>作为学科</w:t>
      </w:r>
      <w:r>
        <w:rPr>
          <w:rFonts w:ascii="仿宋_GB2312" w:hAnsi="仿宋_GB2312" w:eastAsia="仿宋_GB2312" w:cs="仿宋_GB2312"/>
          <w:sz w:val="32"/>
          <w:szCs w:val="32"/>
        </w:rPr>
        <w:t>定位</w:t>
      </w:r>
      <w:r>
        <w:rPr>
          <w:rFonts w:hint="eastAsia" w:ascii="仿宋_GB2312" w:hAnsi="仿宋_GB2312" w:eastAsia="仿宋_GB2312" w:cs="仿宋_GB2312"/>
          <w:sz w:val="32"/>
          <w:szCs w:val="32"/>
        </w:rPr>
        <w:t>。“平时”为综合性医院，</w:t>
      </w:r>
      <w:r>
        <w:rPr>
          <w:rFonts w:hint="eastAsia" w:ascii="仿宋_GB2312" w:hAnsi="仿宋_GB2312" w:eastAsia="仿宋_GB2312" w:cs="仿宋_GB2312"/>
          <w:color w:val="000000"/>
          <w:sz w:val="32"/>
          <w:szCs w:val="32"/>
        </w:rPr>
        <w:t>从事日常诊疗，</w:t>
      </w:r>
      <w:r>
        <w:rPr>
          <w:rFonts w:hint="eastAsia" w:ascii="仿宋_GB2312" w:hAnsi="仿宋_GB2312" w:eastAsia="仿宋_GB2312" w:cs="仿宋_GB2312"/>
          <w:sz w:val="32"/>
          <w:szCs w:val="32"/>
        </w:rPr>
        <w:t>满足群众的正常就医需求和各类传染病的分类分区诊治；</w:t>
      </w:r>
      <w:r>
        <w:rPr>
          <w:rFonts w:hint="eastAsia" w:ascii="仿宋_GB2312" w:hAnsi="仿宋_GB2312" w:eastAsia="仿宋_GB2312" w:cs="仿宋_GB2312"/>
          <w:color w:val="000000"/>
          <w:sz w:val="32"/>
          <w:szCs w:val="32"/>
        </w:rPr>
        <w:t>“战时”转为重大疫情防控</w:t>
      </w:r>
      <w:r>
        <w:rPr>
          <w:rFonts w:hint="eastAsia" w:ascii="仿宋_GB2312" w:hAnsi="仿宋_GB2312" w:eastAsia="仿宋_GB2312" w:cs="仿宋_GB2312"/>
          <w:sz w:val="32"/>
          <w:szCs w:val="32"/>
        </w:rPr>
        <w:t>和突发公共卫生事件</w:t>
      </w:r>
      <w:r>
        <w:rPr>
          <w:rFonts w:hint="eastAsia" w:ascii="仿宋_GB2312" w:hAnsi="仿宋_GB2312" w:eastAsia="仿宋_GB2312" w:cs="仿宋_GB2312"/>
          <w:color w:val="000000"/>
          <w:sz w:val="32"/>
          <w:szCs w:val="32"/>
        </w:rPr>
        <w:t>救治基地，</w:t>
      </w:r>
      <w:r>
        <w:rPr>
          <w:rFonts w:hint="eastAsia" w:ascii="仿宋_GB2312" w:hAnsi="仿宋_GB2312" w:eastAsia="仿宋_GB2312" w:cs="仿宋_GB2312"/>
          <w:sz w:val="32"/>
          <w:szCs w:val="32"/>
        </w:rPr>
        <w:t>清空医院，用于大批患者的集中隔离救治，</w:t>
      </w:r>
      <w:r>
        <w:rPr>
          <w:rFonts w:hint="eastAsia" w:ascii="仿宋_GB2312" w:hAnsi="仿宋_GB2312" w:eastAsia="仿宋_GB2312" w:cs="仿宋_GB2312"/>
          <w:color w:val="000000"/>
          <w:sz w:val="32"/>
          <w:szCs w:val="32"/>
        </w:rPr>
        <w:t>担负海南南部区域突发公共卫生事件和疫情的应急处理和诊治任务</w:t>
      </w:r>
      <w:r>
        <w:rPr>
          <w:rFonts w:hint="eastAsia" w:ascii="仿宋_GB2312" w:hAnsi="仿宋_GB2312" w:eastAsia="仿宋_GB2312" w:cs="仿宋_GB2312"/>
          <w:sz w:val="32"/>
          <w:szCs w:val="32"/>
        </w:rPr>
        <w:t>。</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卫临床中心的启用标志着三亚市公共卫生服务体系日趋完善，传染病防控能力和重大公共卫生应急处置、保障能力逐步增强，开启了三亚市卫生健康事业发展新征程，为提升海南南部区域居民和游客健康水平迈出新步伐。</w:t>
      </w:r>
    </w:p>
    <w:p>
      <w:pPr>
        <w:spacing w:line="57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未来，公卫临床中心将立足保障人民的身体健康和生命安全，以感染性疾病诊疗为特色，集临床、科研、教学、质控、管理和突发公共卫生事件和疫情紧急应对为一体的三级传染病医院为发展目标，推进公卫临床中心内涵式发展。明确功能定位，加快公共卫生资源配置，整合全市优质公共卫生资源，强化服务能力建设，在省级各部门和市委、市政府的大力支持下，力争通过2至3年努力，实现公卫临床中心运营步入正轨。</w:t>
      </w:r>
    </w:p>
    <w:p>
      <w:pPr>
        <w:pStyle w:val="7"/>
        <w:numPr>
          <w:ilvl w:val="0"/>
          <w:numId w:val="6"/>
        </w:numPr>
        <w:ind w:left="0"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因公卫临床中心组织架构尚未成立。2023年2月28日，三亚中心医院根据市卫健委工作要求，成立公卫临床中心筹备组进驻公卫临床中心开展工作，相关制度沿用三亚中心医院相关制度。</w:t>
      </w:r>
    </w:p>
    <w:p>
      <w:pPr>
        <w:pStyle w:val="7"/>
        <w:numPr>
          <w:ilvl w:val="255"/>
          <w:numId w:val="0"/>
        </w:numPr>
        <w:ind w:left="640"/>
        <w:jc w:val="left"/>
        <w:rPr>
          <w:rFonts w:ascii="仿宋_GB2312" w:hAnsi="黑体" w:eastAsia="仿宋_GB2312" w:cs="仿宋_GB2312"/>
          <w:sz w:val="32"/>
          <w:szCs w:val="32"/>
        </w:rPr>
      </w:pPr>
    </w:p>
    <w:p>
      <w:pPr>
        <w:ind w:firstLine="0" w:firstLineChars="0"/>
        <w:jc w:val="left"/>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二、单位机构设置</w:t>
      </w:r>
    </w:p>
    <w:p>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三亚市公共卫生临床</w:t>
      </w:r>
      <w:r>
        <w:rPr>
          <w:rFonts w:hint="eastAsia" w:ascii="Times New Roman" w:hAnsi="Times New Roman" w:eastAsia="仿宋_GB2312" w:cs="Times New Roman"/>
          <w:sz w:val="32"/>
          <w:szCs w:val="32"/>
        </w:rPr>
        <w:t>中心</w:t>
      </w:r>
      <w:r>
        <w:rPr>
          <w:rFonts w:ascii="Times New Roman" w:hAnsi="Times New Roman" w:eastAsia="仿宋_GB2312" w:cs="Times New Roman"/>
          <w:sz w:val="32"/>
          <w:szCs w:val="32"/>
        </w:rPr>
        <w:t>内设</w:t>
      </w:r>
      <w:r>
        <w:rPr>
          <w:rFonts w:hint="eastAsia" w:ascii="Times New Roman" w:hAnsi="Times New Roman" w:eastAsia="仿宋_GB2312" w:cs="Times New Roman"/>
          <w:sz w:val="32"/>
          <w:szCs w:val="32"/>
        </w:rPr>
        <w:t>综合办公室、财务医保科、医疗质控科、院感公卫科、总务后勤科、信息设备科、临床科室和医技科室，</w:t>
      </w:r>
      <w:r>
        <w:rPr>
          <w:rFonts w:ascii="Times New Roman" w:hAnsi="Times New Roman" w:eastAsia="仿宋_GB2312" w:cs="Times New Roman"/>
          <w:sz w:val="32"/>
          <w:szCs w:val="32"/>
        </w:rPr>
        <w:t>无下属单位。</w:t>
      </w:r>
    </w:p>
    <w:p>
      <w:pPr>
        <w:ind w:firstLine="640" w:firstLineChars="200"/>
        <w:jc w:val="left"/>
        <w:rPr>
          <w:rFonts w:ascii="仿宋_GB2312" w:hAnsi="黑体" w:eastAsia="仿宋_GB2312" w:cs="仿宋_GB2312"/>
          <w:sz w:val="32"/>
          <w:szCs w:val="32"/>
        </w:rPr>
      </w:pPr>
    </w:p>
    <w:p>
      <w:pPr>
        <w:ind w:left="640" w:leftChars="305" w:firstLine="160" w:firstLineChars="50"/>
        <w:jc w:val="left"/>
        <w:rPr>
          <w:rFonts w:ascii="仿宋_GB2312" w:hAnsi="黑体" w:eastAsia="仿宋_GB2312" w:cs="仿宋_GB2312"/>
          <w:sz w:val="32"/>
          <w:szCs w:val="32"/>
        </w:rPr>
      </w:pPr>
    </w:p>
    <w:p>
      <w:pPr>
        <w:ind w:left="640" w:leftChars="305" w:firstLine="160" w:firstLineChars="50"/>
        <w:jc w:val="left"/>
        <w:rPr>
          <w:rFonts w:ascii="仿宋_GB2312" w:hAnsi="黑体" w:eastAsia="仿宋_GB2312" w:cs="仿宋_GB2312"/>
          <w:sz w:val="32"/>
          <w:szCs w:val="32"/>
        </w:rPr>
      </w:pPr>
    </w:p>
    <w:p>
      <w:pPr>
        <w:ind w:left="640" w:leftChars="305" w:firstLine="160" w:firstLineChars="50"/>
        <w:jc w:val="left"/>
        <w:rPr>
          <w:rFonts w:hint="eastAsia" w:ascii="仿宋_GB2312" w:hAnsi="黑体" w:eastAsia="仿宋_GB2312" w:cs="仿宋_GB2312"/>
          <w:sz w:val="32"/>
          <w:szCs w:val="32"/>
        </w:rPr>
      </w:pPr>
    </w:p>
    <w:p>
      <w:pPr>
        <w:ind w:left="640" w:leftChars="305" w:firstLine="160" w:firstLineChars="50"/>
        <w:jc w:val="left"/>
        <w:rPr>
          <w:rFonts w:ascii="仿宋_GB2312" w:hAnsi="黑体" w:eastAsia="仿宋_GB2312" w:cs="仿宋_GB2312"/>
          <w:sz w:val="32"/>
          <w:szCs w:val="32"/>
        </w:rPr>
      </w:pPr>
    </w:p>
    <w:p>
      <w:pPr>
        <w:numPr>
          <w:ilvl w:val="0"/>
          <w:numId w:val="7"/>
        </w:numPr>
        <w:ind w:firstLine="640" w:firstLineChars="200"/>
        <w:rPr>
          <w:rFonts w:ascii="黑体" w:hAnsi="黑体" w:eastAsia="黑体"/>
          <w:sz w:val="32"/>
          <w:szCs w:val="32"/>
        </w:rPr>
      </w:pPr>
      <w:r>
        <w:rPr>
          <w:rFonts w:hint="eastAsia" w:ascii="黑体" w:hAnsi="黑体" w:eastAsia="黑体"/>
          <w:sz w:val="32"/>
          <w:szCs w:val="32"/>
        </w:rPr>
        <w:t>三亚市公共卫生临床中心2024年预算表</w:t>
      </w:r>
    </w:p>
    <w:p>
      <w:pPr>
        <w:ind w:firstLine="640" w:firstLineChars="2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三亚市公共卫生临床中心2024年预算情况说明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一、关于三亚市公共卫生临床中心2024年财政拨款收支预算情况的总体说明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三亚市公共卫生临床中心2024年财政拨款收支总预算</w:t>
      </w:r>
      <w:r>
        <w:rPr>
          <w:rFonts w:hint="eastAsia" w:ascii="仿宋_GB2312" w:hAnsi="黑体" w:eastAsia="仿宋_GB2312" w:cs="仿宋_GB2312"/>
          <w:sz w:val="32"/>
          <w:szCs w:val="32"/>
        </w:rPr>
        <w:t>2850</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2850</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2850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2850</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2850</w:t>
      </w:r>
      <w:r>
        <w:rPr>
          <w:rFonts w:hint="eastAsia" w:ascii="仿宋_GB2312" w:hAnsi="黑体" w:eastAsia="仿宋_GB2312"/>
          <w:sz w:val="32"/>
          <w:szCs w:val="32"/>
        </w:rPr>
        <w:t>万元、外交支出</w:t>
      </w:r>
      <w:r>
        <w:rPr>
          <w:rFonts w:hint="eastAsia" w:ascii="仿宋_GB2312" w:hAnsi="黑体" w:eastAsia="仿宋_GB2312" w:cs="仿宋_GB2312"/>
          <w:sz w:val="32"/>
          <w:szCs w:val="32"/>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rPr>
        <w:t>0</w:t>
      </w:r>
      <w:r>
        <w:rPr>
          <w:rFonts w:hint="eastAsia" w:ascii="仿宋_GB2312" w:hAnsi="黑体" w:eastAsia="仿宋_GB2312"/>
          <w:sz w:val="32"/>
          <w:szCs w:val="32"/>
        </w:rPr>
        <w:t>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二、关于三亚市公共卫生临床中心2024年一般公共预算当年拨款情况说明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三亚市公共卫生临床中心2024年一般公共预算当年拨款</w:t>
      </w:r>
      <w:r>
        <w:rPr>
          <w:rFonts w:hint="eastAsia" w:ascii="仿宋_GB2312" w:hAnsi="黑体" w:eastAsia="仿宋_GB2312" w:cs="仿宋_GB2312"/>
          <w:sz w:val="32"/>
          <w:szCs w:val="32"/>
        </w:rPr>
        <w:t>2850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增加1850</w:t>
      </w:r>
      <w:r>
        <w:rPr>
          <w:rFonts w:hint="eastAsia" w:ascii="仿宋_GB2312" w:hAnsi="黑体" w:eastAsia="仿宋_GB2312"/>
          <w:sz w:val="32"/>
          <w:szCs w:val="32"/>
        </w:rPr>
        <w:t>万元，主要是由于公卫中心新成立不久，单位基础设施建设、信息系统建设、医疗设备等未完善，因此较上年预算增加用于保障单位运营、购买医疗设备、设施维护与改造等。</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支出2850</w:t>
      </w:r>
      <w:r>
        <w:rPr>
          <w:rFonts w:hint="eastAsia" w:ascii="仿宋_GB2312" w:hAnsi="黑体" w:eastAsia="仿宋_GB2312"/>
          <w:sz w:val="32"/>
          <w:szCs w:val="32"/>
        </w:rPr>
        <w:t>万元，占10</w:t>
      </w:r>
      <w:r>
        <w:rPr>
          <w:rFonts w:hint="eastAsia" w:ascii="仿宋_GB2312" w:hAnsi="黑体" w:eastAsia="仿宋_GB2312" w:cs="仿宋_GB2312"/>
          <w:sz w:val="32"/>
          <w:szCs w:val="32"/>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1.一般公共预算支出表卫生健康支出（类）公立医院（款）传染病医院（项）2024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2850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增加1850</w:t>
      </w:r>
      <w:r>
        <w:rPr>
          <w:rFonts w:hint="eastAsia" w:ascii="仿宋_GB2312" w:hAnsi="黑体" w:eastAsia="仿宋_GB2312"/>
          <w:sz w:val="32"/>
          <w:szCs w:val="32"/>
        </w:rPr>
        <w:t>万元，主要是设备（装备）购置与运行维护项目经费1000万元，设施维护与改造项目经费500万元，卫生健康发展专项资金项目经费400万元，综合运行事务项目经费800万元，信息系统运行维护项目经费150万元等综合导致。</w:t>
      </w:r>
    </w:p>
    <w:p>
      <w:pPr>
        <w:ind w:firstLine="640"/>
        <w:rPr>
          <w:rFonts w:ascii="黑体" w:hAnsi="黑体" w:eastAsia="黑体"/>
          <w:sz w:val="32"/>
          <w:szCs w:val="32"/>
        </w:rPr>
      </w:pPr>
      <w:r>
        <w:rPr>
          <w:rFonts w:hint="eastAsia" w:ascii="黑体" w:hAnsi="黑体" w:eastAsia="黑体"/>
          <w:sz w:val="32"/>
          <w:szCs w:val="32"/>
        </w:rPr>
        <w:t>三、关于三亚市公共卫生临床中心2024一般公共预算基本支出情况说明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rPr>
      </w:pPr>
    </w:p>
    <w:p>
      <w:pPr>
        <w:ind w:firstLine="640" w:firstLineChars="200"/>
        <w:rPr>
          <w:rFonts w:hint="eastAsia" w:ascii="Times New Roman" w:hAnsi="Times New Roman" w:eastAsia="仿宋_GB2312" w:cs="Times New Roman"/>
          <w:sz w:val="32"/>
          <w:shd w:val="clear" w:color="auto" w:fill="FFFFFF"/>
        </w:rPr>
      </w:pPr>
      <w:r>
        <w:rPr>
          <w:rFonts w:hint="eastAsia" w:ascii="仿宋_GB2312" w:hAnsi="黑体" w:eastAsia="仿宋_GB2312"/>
          <w:sz w:val="32"/>
          <w:szCs w:val="32"/>
        </w:rPr>
        <w:t>三亚市公共卫生临床中心2024年一般公共预算基本支出为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三亚市公共卫生临床中心2024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cs="Times New Roman"/>
          <w:sz w:val="32"/>
          <w:szCs w:val="32"/>
        </w:rPr>
      </w:pPr>
      <w:r>
        <w:rPr>
          <w:rFonts w:hint="eastAsia" w:ascii="仿宋_GB2312" w:hAnsi="黑体" w:eastAsia="仿宋_GB2312"/>
          <w:sz w:val="32"/>
          <w:szCs w:val="32"/>
        </w:rPr>
        <w:t>（一）三亚市公共卫生临床中心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cs="Times New Roman"/>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二</w:t>
      </w:r>
      <w:r>
        <w:rPr>
          <w:rFonts w:hint="eastAsia" w:ascii="仿宋_GB2312" w:hAnsi="黑体" w:eastAsia="仿宋_GB2312"/>
          <w:sz w:val="32"/>
          <w:szCs w:val="32"/>
        </w:rPr>
        <w:t>）三亚市公共卫生临床中心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政府性基金</w:t>
      </w:r>
      <w:r>
        <w:rPr>
          <w:rFonts w:hint="eastAsia" w:ascii="仿宋_GB2312" w:hAnsi="黑体" w:eastAsia="仿宋_GB2312"/>
          <w:sz w:val="32"/>
          <w:szCs w:val="32"/>
        </w:rPr>
        <w:t>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五、关于三亚市公共卫生临床中心20</w:t>
      </w:r>
      <w:r>
        <w:rPr>
          <w:rFonts w:hint="eastAsia" w:ascii="仿宋_GB2312" w:hAnsi="黑体" w:eastAsia="仿宋_GB2312"/>
          <w:sz w:val="32"/>
          <w:szCs w:val="32"/>
        </w:rPr>
        <w:t>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三亚市公共卫生临床中心2024年政府性基金预算当年拨款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ascii="仿宋_GB2312" w:hAnsi="黑体" w:eastAsia="仿宋_GB2312"/>
          <w:sz w:val="32"/>
          <w:szCs w:val="32"/>
        </w:rPr>
      </w:pP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%；卫生健康（类）支出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%，住房保障（类）支出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rPr>
        <w:t>1.社会保障和就业</w:t>
      </w:r>
      <w:r>
        <w:rPr>
          <w:rFonts w:hint="eastAsia" w:ascii="仿宋_GB2312" w:hAnsi="黑体" w:eastAsia="仿宋_GB2312" w:cs="仿宋_GB2312"/>
          <w:sz w:val="32"/>
          <w:szCs w:val="32"/>
          <w:lang w:eastAsia="zh-CN"/>
        </w:rPr>
        <w:t>（类）人力资源和社会保障管理事务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劳动人事争议调解仲裁</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（类）行政事业单位养老支出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w:t>
      </w:r>
      <w:r>
        <w:rPr>
          <w:rFonts w:hint="eastAsia" w:ascii="仿宋_GB2312" w:hAnsi="黑体" w:eastAsia="仿宋_GB2312" w:cs="仿宋_GB2312"/>
          <w:sz w:val="32"/>
          <w:szCs w:val="32"/>
          <w:lang w:eastAsia="zh-CN"/>
        </w:rPr>
        <w:t>（类）行政事业单位医疗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w:t>
      </w:r>
      <w:r>
        <w:rPr>
          <w:rFonts w:hint="eastAsia" w:ascii="仿宋_GB2312" w:hAnsi="黑体" w:eastAsia="仿宋_GB2312" w:cs="仿宋_GB2312"/>
          <w:sz w:val="32"/>
          <w:szCs w:val="32"/>
          <w:lang w:eastAsia="zh-CN"/>
        </w:rPr>
        <w:t>（类）行政事业单位医疗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公务员医疗补助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住房保障支出</w:t>
      </w:r>
      <w:r>
        <w:rPr>
          <w:rFonts w:hint="eastAsia" w:ascii="仿宋_GB2312" w:hAnsi="黑体" w:eastAsia="仿宋_GB2312" w:cs="仿宋_GB2312"/>
          <w:sz w:val="32"/>
          <w:szCs w:val="32"/>
          <w:lang w:eastAsia="zh-CN"/>
        </w:rPr>
        <w:t>（类）住房改革支出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住房公积金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六、关于三亚市公共卫生临床中心2024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按照综合预算原则，三亚市公共卫生临床中心2024所有收入和支出均纳入部门预算管理。收入包括：一般公共预算收入</w:t>
      </w:r>
      <w:r>
        <w:rPr>
          <w:rFonts w:hint="eastAsia" w:ascii="仿宋_GB2312" w:hAnsi="黑体" w:eastAsia="仿宋_GB2312"/>
          <w:sz w:val="32"/>
          <w:szCs w:val="32"/>
        </w:rPr>
        <w:t>；支出包括：一般公共服务支出。</w:t>
      </w:r>
      <w:r>
        <w:rPr>
          <w:rFonts w:hint="eastAsia" w:ascii="仿宋_GB2312" w:hAnsi="黑体" w:eastAsia="仿宋_GB2312" w:cs="仿宋_GB2312"/>
          <w:sz w:val="32"/>
          <w:szCs w:val="32"/>
        </w:rPr>
        <w:t>三亚市公共卫生临床中心2024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2850</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r>
        <w:rPr>
          <w:rFonts w:hint="eastAsia" w:ascii="黑体" w:hAnsi="黑体" w:eastAsia="黑体" w:cs="Times New Roman"/>
          <w:sz w:val="32"/>
          <w:shd w:val="clear" w:color="auto" w:fill="FFFFFF"/>
        </w:rPr>
        <w:t>七、关于三亚市公共卫生临床中心2024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三亚市公共卫生临床中心2024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2850</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2850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增加1850</w:t>
      </w:r>
      <w:r>
        <w:rPr>
          <w:rFonts w:hint="eastAsia" w:ascii="仿宋_GB2312" w:hAnsi="黑体" w:eastAsia="仿宋_GB2312"/>
          <w:sz w:val="32"/>
          <w:szCs w:val="32"/>
        </w:rPr>
        <w:t>万元，主要是增加设备（装备）购置与运行维护项目经费1000万元，设施维护与改造项目经费500万元，卫生健康发展专项资金项目经费400万元，综合运行事务项目经费800万元，信息系统运行维护项目经费150万元等综合导致。</w:t>
      </w:r>
    </w:p>
    <w:p>
      <w:pPr>
        <w:ind w:firstLine="640" w:firstLineChars="200"/>
        <w:rPr>
          <w:rFonts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八、关于三亚市公共卫生临床中心2024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三亚市公共卫生临床中心2024</w:t>
      </w:r>
      <w:r>
        <w:rPr>
          <w:rFonts w:hint="eastAsia" w:ascii="仿宋_GB2312" w:hAnsi="黑体" w:eastAsia="仿宋_GB2312"/>
          <w:sz w:val="32"/>
          <w:szCs w:val="32"/>
        </w:rPr>
        <w:t>年支出预算</w:t>
      </w:r>
      <w:r>
        <w:rPr>
          <w:rFonts w:hint="eastAsia" w:ascii="仿宋_GB2312" w:hAnsi="黑体" w:eastAsia="仿宋_GB2312" w:cs="仿宋_GB2312"/>
          <w:sz w:val="32"/>
          <w:szCs w:val="32"/>
        </w:rPr>
        <w:t>2850</w:t>
      </w:r>
      <w:r>
        <w:rPr>
          <w:rFonts w:hint="eastAsia" w:ascii="仿宋_GB2312" w:hAnsi="黑体" w:eastAsia="仿宋_GB2312"/>
          <w:sz w:val="32"/>
          <w:szCs w:val="32"/>
        </w:rPr>
        <w:t>万元，其中：项目支出</w:t>
      </w:r>
      <w:r>
        <w:rPr>
          <w:rFonts w:hint="eastAsia" w:ascii="仿宋_GB2312" w:hAnsi="黑体" w:eastAsia="仿宋_GB2312" w:cs="仿宋_GB2312"/>
          <w:sz w:val="32"/>
          <w:szCs w:val="32"/>
        </w:rPr>
        <w:t>2850</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增加1850</w:t>
      </w:r>
      <w:r>
        <w:rPr>
          <w:rFonts w:hint="eastAsia" w:ascii="仿宋_GB2312" w:hAnsi="黑体" w:eastAsia="仿宋_GB2312"/>
          <w:sz w:val="32"/>
          <w:szCs w:val="32"/>
        </w:rPr>
        <w:t>万元，主要是由于公卫中心新成立不久，单位基础设施建设、信息系统建设、医疗设备等未完善，因此较上年预算增加用于保障单位运营、购买医疗设备、设施维护与改造等。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Times New Roman" w:hAnsi="Times New Roman" w:eastAsia="仿宋_GB2312" w:cs="Times New Roman"/>
          <w:sz w:val="32"/>
          <w:szCs w:val="32"/>
        </w:rPr>
        <w:t>2024年三亚市公共卫生临床中心综合</w:t>
      </w:r>
      <w:r>
        <w:rPr>
          <w:rFonts w:ascii="Times New Roman" w:hAnsi="Times New Roman" w:eastAsia="仿宋_GB2312" w:cs="Times New Roman"/>
          <w:sz w:val="32"/>
          <w:szCs w:val="32"/>
        </w:rPr>
        <w:t>运行</w:t>
      </w:r>
      <w:r>
        <w:rPr>
          <w:rFonts w:hint="eastAsia" w:ascii="Times New Roman" w:hAnsi="Times New Roman" w:eastAsia="仿宋_GB2312" w:cs="Times New Roman"/>
          <w:sz w:val="32"/>
          <w:szCs w:val="32"/>
        </w:rPr>
        <w:t>事务</w:t>
      </w:r>
      <w:r>
        <w:rPr>
          <w:rFonts w:ascii="Times New Roman" w:hAnsi="Times New Roman" w:eastAsia="仿宋_GB2312" w:cs="Times New Roman"/>
          <w:sz w:val="32"/>
          <w:szCs w:val="32"/>
        </w:rPr>
        <w:t>经费预算</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三亚市公共卫生临床中心政府采购预算总额1657.19</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1000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657.19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3</w:t>
      </w:r>
      <w:bookmarkStart w:id="0" w:name="_GoBack"/>
      <w:bookmarkEnd w:id="0"/>
      <w:r>
        <w:rPr>
          <w:rFonts w:hint="eastAsia" w:ascii="仿宋_GB2312" w:hAnsi="黑体" w:eastAsia="仿宋_GB2312"/>
          <w:sz w:val="32"/>
          <w:szCs w:val="32"/>
        </w:rPr>
        <w:t>年12月31日，</w:t>
      </w:r>
      <w:r>
        <w:rPr>
          <w:rFonts w:hint="eastAsia" w:ascii="仿宋_GB2312" w:hAnsi="黑体" w:eastAsia="仿宋_GB2312" w:cs="仿宋_GB2312"/>
          <w:sz w:val="32"/>
          <w:szCs w:val="32"/>
        </w:rPr>
        <w:t>三亚市公共卫生临床中心账上暂无国有资产，主要是由于公卫中心的建设和资产采购由三亚市卫健委负责，相关资产还未清查和办理移交手续。</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w:t>
      </w:r>
      <w:r>
        <w:rPr>
          <w:rFonts w:hint="eastAsia" w:ascii="仿宋_GB2312" w:hAnsi="黑体" w:eastAsia="仿宋_GB2312" w:cs="仿宋_GB2312"/>
          <w:sz w:val="32"/>
          <w:szCs w:val="32"/>
        </w:rPr>
        <w:t>三亚市公共卫生临床中心5个项目实行绩效目标管理，涉及一般公共预算2850</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其中，重点项目预算绩效设置情况：</w:t>
      </w:r>
    </w:p>
    <w:p>
      <w:pPr>
        <w:numPr>
          <w:ilvl w:val="255"/>
          <w:numId w:val="0"/>
        </w:numPr>
        <w:ind w:firstLine="640" w:firstLineChars="200"/>
        <w:rPr>
          <w:rFonts w:ascii="仿宋_GB2312" w:hAnsi="黑体" w:eastAsia="仿宋_GB2312"/>
          <w:sz w:val="32"/>
          <w:szCs w:val="32"/>
        </w:rPr>
      </w:pPr>
      <w:r>
        <w:rPr>
          <w:rFonts w:hint="eastAsia" w:ascii="仿宋_GB2312" w:hAnsi="黑体" w:eastAsia="仿宋_GB2312"/>
          <w:sz w:val="32"/>
          <w:szCs w:val="32"/>
        </w:rPr>
        <w:t>1.设备（装备）购置与运行维护项目，预算安排1000万元，主要用于医疗设备等购置，绩效目标是完善医疗设备配置，为患者提供更全面的医疗服务。绩效指标有：设备到位及时率≥95%，本年权重30%；设备验收合格率=100%，本年权重30%；设备利用率≥80%，本年权重30%。</w:t>
      </w:r>
    </w:p>
    <w:p>
      <w:pPr>
        <w:numPr>
          <w:ilvl w:val="255"/>
          <w:numId w:val="0"/>
        </w:num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综合运行事务</w:t>
      </w:r>
      <w:r>
        <w:rPr>
          <w:rFonts w:hint="eastAsia" w:ascii="仿宋_GB2312" w:hAnsi="黑体" w:eastAsia="仿宋_GB2312"/>
          <w:sz w:val="32"/>
          <w:szCs w:val="32"/>
        </w:rPr>
        <w:t>项目，预算安排800万元，主要用于日常经营业务支出，绩效目标是保障公卫临床中心整体正常运行。绩效指标有：</w:t>
      </w:r>
      <w:r>
        <w:rPr>
          <w:rFonts w:ascii="仿宋_GB2312" w:hAnsi="黑体" w:eastAsia="仿宋_GB2312"/>
          <w:sz w:val="32"/>
          <w:szCs w:val="32"/>
        </w:rPr>
        <w:t>传染病疫情和突发公共卫生事件报告及时率＝</w:t>
      </w:r>
      <w:r>
        <w:rPr>
          <w:rFonts w:hint="eastAsia" w:ascii="仿宋_GB2312" w:hAnsi="黑体" w:eastAsia="仿宋_GB2312"/>
          <w:sz w:val="32"/>
          <w:szCs w:val="32"/>
        </w:rPr>
        <w:t>100%，本年权重40%；接纳诊疗人次≥1.8万人次，本年权重40%；门诊患者满意度≥85%，本年权重10%。</w:t>
      </w:r>
    </w:p>
    <w:p>
      <w:pPr>
        <w:ind w:firstLine="640" w:firstLineChars="200"/>
        <w:jc w:val="left"/>
        <w:rPr>
          <w:rFonts w:ascii="黑体" w:hAnsi="黑体" w:eastAsia="黑体"/>
          <w:sz w:val="32"/>
          <w:szCs w:val="32"/>
        </w:rPr>
      </w:pPr>
      <w:r>
        <w:rPr>
          <w:rFonts w:hint="eastAsia" w:ascii="仿宋_GB2312" w:hAnsi="黑体" w:eastAsia="仿宋_GB2312"/>
          <w:sz w:val="32"/>
          <w:szCs w:val="32"/>
        </w:rPr>
        <w:t>3.设施维护与改造项目，预算安排500万元，主要用于公卫中心污水、垃圾站、仓库等设施改造以及中央空调等设施的维护，绩效目标是维护公卫中心设备设施正常使用和运行。绩效指标有：设施改造完成率=100%，本年权重30%；改造工程验收合格率=100%，本年权重30%；设施利用率≥95%，本年权重30%。</w:t>
      </w: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hint="eastAsia"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716382"/>
    <w:multiLevelType w:val="singleLevel"/>
    <w:tmpl w:val="63716382"/>
    <w:lvl w:ilvl="0" w:tentative="0">
      <w:start w:val="2"/>
      <w:numFmt w:val="chineseCounting"/>
      <w:suff w:val="space"/>
      <w:lvlText w:val="第%1部分"/>
      <w:lvlJc w:val="left"/>
      <w:rPr>
        <w:rFonts w:hint="eastAsia"/>
      </w:r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trackRevisions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zNjBkOTgyNWQ1YTMxYzM3MzMwNWFiODNmOWIzYWMifQ=="/>
    <w:docVar w:name="KSO_WPS_MARK_KEY" w:val="7f50c74c-556d-4142-884d-a2f42f6d2b50"/>
  </w:docVars>
  <w:rsids>
    <w:rsidRoot w:val="00AD3F75"/>
    <w:rsid w:val="00010FE1"/>
    <w:rsid w:val="000A52A5"/>
    <w:rsid w:val="00240944"/>
    <w:rsid w:val="002867AB"/>
    <w:rsid w:val="005C68CB"/>
    <w:rsid w:val="0095401E"/>
    <w:rsid w:val="00AD3F75"/>
    <w:rsid w:val="00D82689"/>
    <w:rsid w:val="00D93719"/>
    <w:rsid w:val="00DB245B"/>
    <w:rsid w:val="00DD3C2B"/>
    <w:rsid w:val="00F11CC5"/>
    <w:rsid w:val="027D4097"/>
    <w:rsid w:val="040501F6"/>
    <w:rsid w:val="153C6BA1"/>
    <w:rsid w:val="19D5DA33"/>
    <w:rsid w:val="19E36491"/>
    <w:rsid w:val="1A024FFA"/>
    <w:rsid w:val="1A754909"/>
    <w:rsid w:val="1E7F620A"/>
    <w:rsid w:val="1FBF8E30"/>
    <w:rsid w:val="29016DDA"/>
    <w:rsid w:val="2BDF0DC0"/>
    <w:rsid w:val="2BEB62EB"/>
    <w:rsid w:val="2C175F07"/>
    <w:rsid w:val="2C6107C0"/>
    <w:rsid w:val="2FF7110D"/>
    <w:rsid w:val="2FFFCED3"/>
    <w:rsid w:val="35883210"/>
    <w:rsid w:val="396E33B3"/>
    <w:rsid w:val="3F7FB4B5"/>
    <w:rsid w:val="3FAD4D11"/>
    <w:rsid w:val="420109D2"/>
    <w:rsid w:val="424D06A3"/>
    <w:rsid w:val="426428B2"/>
    <w:rsid w:val="43407B62"/>
    <w:rsid w:val="45905EAD"/>
    <w:rsid w:val="4824065F"/>
    <w:rsid w:val="4C352698"/>
    <w:rsid w:val="4FB80849"/>
    <w:rsid w:val="53D621AB"/>
    <w:rsid w:val="56287BAE"/>
    <w:rsid w:val="59D552F7"/>
    <w:rsid w:val="5DB7E539"/>
    <w:rsid w:val="5E885A07"/>
    <w:rsid w:val="5F7C7863"/>
    <w:rsid w:val="621C0D9D"/>
    <w:rsid w:val="62BC7E8A"/>
    <w:rsid w:val="62CE02E9"/>
    <w:rsid w:val="63844E4C"/>
    <w:rsid w:val="64970BAF"/>
    <w:rsid w:val="66DACB0B"/>
    <w:rsid w:val="67672ABA"/>
    <w:rsid w:val="6808528A"/>
    <w:rsid w:val="697BF56A"/>
    <w:rsid w:val="6B6CE30F"/>
    <w:rsid w:val="6C7F1319"/>
    <w:rsid w:val="6D0933E5"/>
    <w:rsid w:val="6D3F47B6"/>
    <w:rsid w:val="6DDF74AC"/>
    <w:rsid w:val="6FAF0D8D"/>
    <w:rsid w:val="6FCFCADC"/>
    <w:rsid w:val="6FFA4FE6"/>
    <w:rsid w:val="75FB0B04"/>
    <w:rsid w:val="78C55892"/>
    <w:rsid w:val="79F7B683"/>
    <w:rsid w:val="7D73BCCE"/>
    <w:rsid w:val="7D9127BD"/>
    <w:rsid w:val="7DC07E42"/>
    <w:rsid w:val="7DE79FA0"/>
    <w:rsid w:val="7DEBCAFF"/>
    <w:rsid w:val="7EDD8B29"/>
    <w:rsid w:val="7F0305F3"/>
    <w:rsid w:val="7F58120E"/>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623</Words>
  <Characters>3556</Characters>
  <Lines>29</Lines>
  <Paragraphs>8</Paragraphs>
  <TotalTime>2</TotalTime>
  <ScaleCrop>false</ScaleCrop>
  <LinksUpToDate>false</LinksUpToDate>
  <CharactersWithSpaces>4171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卢秋月</cp:lastModifiedBy>
  <dcterms:modified xsi:type="dcterms:W3CDTF">2024-02-04T01:38:01Z</dcterms:modified>
  <dc:title>××年××部门（单位）预算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F776922D94BD44FA84EE0D7368A75E2B_13</vt:lpwstr>
  </property>
</Properties>
</file>