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bookmarkStart w:id="0" w:name="_GoBack"/>
      <w:bookmarkEnd w:id="0"/>
    </w:p>
    <w:p>
      <w:pPr>
        <w:rPr>
          <w:sz w:val="84"/>
          <w:szCs w:val="84"/>
          <w:u w:val="single"/>
        </w:rPr>
      </w:pPr>
    </w:p>
    <w:p>
      <w:pPr>
        <w:rPr>
          <w:sz w:val="84"/>
          <w:szCs w:val="84"/>
          <w:u w:val="single"/>
        </w:rPr>
      </w:pPr>
    </w:p>
    <w:p>
      <w:pPr>
        <w:rPr>
          <w:sz w:val="84"/>
          <w:szCs w:val="84"/>
          <w:u w:val="single"/>
        </w:rPr>
      </w:pPr>
    </w:p>
    <w:p>
      <w:pPr>
        <w:jc w:val="center"/>
        <w:rPr>
          <w:sz w:val="52"/>
          <w:szCs w:val="52"/>
        </w:rPr>
      </w:pPr>
      <w:r>
        <w:rPr>
          <w:rFonts w:asciiTheme="minorEastAsia" w:hAnsiTheme="minorEastAsia" w:eastAsiaTheme="minorEastAsia"/>
          <w:sz w:val="52"/>
          <w:szCs w:val="52"/>
        </w:rPr>
        <w:t>2024</w:t>
      </w:r>
      <w:r>
        <w:rPr>
          <w:rFonts w:hint="eastAsia"/>
          <w:sz w:val="52"/>
          <w:szCs w:val="52"/>
        </w:rPr>
        <w:t>年三亚市卫生计生信息中心</w:t>
      </w:r>
    </w:p>
    <w:p>
      <w:pPr>
        <w:jc w:val="center"/>
        <w:rPr>
          <w:sz w:val="52"/>
          <w:szCs w:val="52"/>
        </w:rPr>
      </w:pPr>
      <w:r>
        <w:rPr>
          <w:rFonts w:hint="eastAsia"/>
          <w:sz w:val="52"/>
          <w:szCs w:val="52"/>
        </w:rPr>
        <w:t>单位预算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三亚市卫生计生信息中心单位概况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255"/>
          <w:numId w:val="0"/>
        </w:numPr>
        <w:rPr>
          <w:rFonts w:ascii="黑体" w:hAnsi="黑体" w:eastAsia="黑体"/>
          <w:sz w:val="32"/>
          <w:szCs w:val="32"/>
        </w:rPr>
      </w:pPr>
      <w:r>
        <w:rPr>
          <w:rFonts w:hint="eastAsia" w:ascii="黑体" w:hAnsi="黑体" w:eastAsia="黑体"/>
          <w:sz w:val="32"/>
          <w:szCs w:val="32"/>
        </w:rPr>
        <w:t>二、单位机构设置</w:t>
      </w:r>
    </w:p>
    <w:p>
      <w:pPr>
        <w:pStyle w:val="7"/>
        <w:numPr>
          <w:ilvl w:val="0"/>
          <w:numId w:val="1"/>
        </w:numPr>
        <w:ind w:firstLineChars="0"/>
        <w:rPr>
          <w:rFonts w:ascii="黑体" w:hAnsi="黑体" w:eastAsia="黑体"/>
          <w:sz w:val="32"/>
          <w:szCs w:val="32"/>
        </w:rPr>
      </w:pPr>
      <w:r>
        <w:rPr>
          <w:rFonts w:hint="eastAsia" w:ascii="黑体" w:hAnsi="黑体" w:eastAsia="黑体"/>
          <w:sz w:val="32"/>
          <w:szCs w:val="32"/>
        </w:rPr>
        <w:t>三亚市卫生计生信息中心</w:t>
      </w:r>
      <w:r>
        <w:rPr>
          <w:rFonts w:hint="eastAsia" w:ascii="仿宋_GB2312" w:hAnsi="黑体" w:eastAsia="仿宋_GB2312" w:cs="仿宋_GB2312"/>
          <w:sz w:val="32"/>
          <w:szCs w:val="32"/>
        </w:rPr>
        <w:t>2024</w:t>
      </w:r>
      <w:r>
        <w:rPr>
          <w:rFonts w:hint="eastAsia" w:ascii="黑体" w:hAnsi="黑体" w:eastAsia="黑体"/>
          <w:sz w:val="32"/>
          <w:szCs w:val="32"/>
        </w:rPr>
        <w:t>年单位预算表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三亚市卫生计生信息中心</w:t>
      </w:r>
      <w:r>
        <w:rPr>
          <w:rFonts w:hint="eastAsia" w:ascii="仿宋_GB2312" w:hAnsi="黑体" w:eastAsia="仿宋_GB2312" w:cs="仿宋_GB2312"/>
          <w:sz w:val="32"/>
          <w:szCs w:val="32"/>
        </w:rPr>
        <w:t>2024</w:t>
      </w:r>
      <w:r>
        <w:rPr>
          <w:rFonts w:hint="eastAsia" w:ascii="黑体" w:hAnsi="黑体" w:eastAsia="黑体"/>
          <w:sz w:val="32"/>
          <w:szCs w:val="32"/>
        </w:rPr>
        <w:t>年单位预算情况说明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7"/>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三亚市卫生计生信息中心单位概况</w:t>
      </w:r>
    </w:p>
    <w:p>
      <w:pPr>
        <w:jc w:val="left"/>
        <w:rPr>
          <w:rFonts w:ascii="仿宋_GB2312" w:hAnsi="仿宋_GB2312" w:eastAsia="仿宋_GB2312" w:cs="仿宋_GB2312"/>
          <w:sz w:val="32"/>
          <w:szCs w:val="32"/>
        </w:rPr>
      </w:pP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7"/>
        <w:numPr>
          <w:ilvl w:val="0"/>
          <w:numId w:val="6"/>
        </w:numPr>
        <w:ind w:firstLineChars="0"/>
        <w:jc w:val="left"/>
        <w:rPr>
          <w:rFonts w:ascii="仿宋_GB2312" w:hAnsi="黑体" w:eastAsia="仿宋_GB2312" w:cs="仿宋_GB2312"/>
          <w:sz w:val="32"/>
          <w:szCs w:val="32"/>
        </w:rPr>
      </w:pPr>
      <w:r>
        <w:rPr>
          <w:rFonts w:hint="eastAsia" w:ascii="仿宋_GB2312" w:hAnsi="黑体" w:eastAsia="仿宋_GB2312" w:cs="仿宋_GB2312"/>
          <w:sz w:val="32"/>
          <w:szCs w:val="32"/>
        </w:rPr>
        <w:t>根据《中共三亚市委机构编制委员会印发三亚市</w:t>
      </w:r>
    </w:p>
    <w:p>
      <w:pPr>
        <w:pStyle w:val="7"/>
        <w:ind w:left="640" w:firstLine="0" w:firstLineChars="0"/>
        <w:jc w:val="left"/>
        <w:rPr>
          <w:rFonts w:ascii="仿宋_GB2312" w:hAnsi="黑体" w:eastAsia="仿宋_GB2312" w:cs="仿宋_GB2312"/>
          <w:sz w:val="32"/>
          <w:szCs w:val="32"/>
        </w:rPr>
      </w:pPr>
      <w:r>
        <w:rPr>
          <w:rFonts w:hint="eastAsia" w:ascii="仿宋_GB2312" w:hAnsi="黑体" w:eastAsia="仿宋_GB2312" w:cs="仿宋_GB2312"/>
          <w:sz w:val="32"/>
          <w:szCs w:val="32"/>
        </w:rPr>
        <w:t>卫生计生信息中心机构编制方案的批复》（三编[2017]22号）文件，三亚市卫生计生信息中心隶属三亚市卫生健康委员会，列入从事公益服务的公益一类事业单位，正科级。</w:t>
      </w:r>
    </w:p>
    <w:p>
      <w:pPr>
        <w:pStyle w:val="7"/>
        <w:numPr>
          <w:ilvl w:val="0"/>
          <w:numId w:val="6"/>
        </w:numPr>
        <w:ind w:firstLineChars="0"/>
        <w:jc w:val="left"/>
        <w:rPr>
          <w:rFonts w:ascii="仿宋_GB2312" w:hAnsi="黑体" w:eastAsia="仿宋_GB2312" w:cs="仿宋_GB2312"/>
          <w:sz w:val="32"/>
          <w:szCs w:val="32"/>
        </w:rPr>
      </w:pPr>
      <w:r>
        <w:rPr>
          <w:rFonts w:hint="eastAsia" w:ascii="仿宋_GB2312" w:hAnsi="黑体" w:eastAsia="仿宋_GB2312" w:cs="仿宋_GB2312"/>
          <w:sz w:val="32"/>
          <w:szCs w:val="32"/>
        </w:rPr>
        <w:t>主要职责</w:t>
      </w:r>
    </w:p>
    <w:p>
      <w:pPr>
        <w:ind w:left="640" w:leftChars="305" w:firstLine="160" w:firstLineChars="50"/>
        <w:jc w:val="left"/>
        <w:rPr>
          <w:rFonts w:ascii="仿宋_GB2312" w:hAnsi="黑体" w:eastAsia="仿宋_GB2312" w:cs="仿宋_GB2312"/>
          <w:sz w:val="32"/>
          <w:szCs w:val="32"/>
        </w:rPr>
      </w:pPr>
      <w:r>
        <w:rPr>
          <w:rFonts w:hint="eastAsia" w:ascii="仿宋_GB2312" w:hAnsi="黑体" w:eastAsia="仿宋_GB2312" w:cs="仿宋_GB2312"/>
          <w:sz w:val="32"/>
          <w:szCs w:val="32"/>
        </w:rPr>
        <w:t>（1）负责全市卫生院信息系统建设规划的组织实施，推进医疗卫生信息标准化建设。</w:t>
      </w:r>
    </w:p>
    <w:p>
      <w:pPr>
        <w:ind w:left="640" w:leftChars="305" w:firstLine="160" w:firstLineChars="50"/>
        <w:jc w:val="left"/>
        <w:rPr>
          <w:rFonts w:ascii="仿宋_GB2312" w:hAnsi="黑体" w:eastAsia="仿宋_GB2312" w:cs="仿宋_GB2312"/>
          <w:sz w:val="32"/>
          <w:szCs w:val="32"/>
        </w:rPr>
      </w:pPr>
      <w:r>
        <w:rPr>
          <w:rFonts w:hint="eastAsia" w:ascii="仿宋_GB2312" w:hAnsi="黑体" w:eastAsia="仿宋_GB2312" w:cs="仿宋_GB2312"/>
          <w:sz w:val="32"/>
          <w:szCs w:val="32"/>
        </w:rPr>
        <w:t>（2）负责有关卫生信息数据统计及分析，开展医疗卫生管理和服务等相关研究工作。</w:t>
      </w:r>
    </w:p>
    <w:p>
      <w:pPr>
        <w:ind w:left="640" w:leftChars="305" w:firstLine="160" w:firstLineChars="50"/>
        <w:jc w:val="left"/>
        <w:rPr>
          <w:rFonts w:ascii="仿宋_GB2312" w:hAnsi="黑体" w:eastAsia="仿宋_GB2312" w:cs="仿宋_GB2312"/>
          <w:sz w:val="32"/>
          <w:szCs w:val="32"/>
        </w:rPr>
      </w:pPr>
      <w:r>
        <w:rPr>
          <w:rFonts w:hint="eastAsia" w:ascii="仿宋_GB2312" w:hAnsi="黑体" w:eastAsia="仿宋_GB2312" w:cs="仿宋_GB2312"/>
          <w:sz w:val="32"/>
          <w:szCs w:val="32"/>
        </w:rPr>
        <w:t>（3）承担区域卫生信息平台、数据中心和应用系统的组织建设及运行维护，指导各类医疗机构的卫生信息系统建设。</w:t>
      </w:r>
    </w:p>
    <w:p>
      <w:pPr>
        <w:ind w:left="640" w:leftChars="305" w:firstLine="160" w:firstLineChars="50"/>
        <w:jc w:val="left"/>
        <w:rPr>
          <w:rFonts w:ascii="仿宋_GB2312" w:hAnsi="黑体" w:eastAsia="仿宋_GB2312" w:cs="仿宋_GB2312"/>
          <w:sz w:val="32"/>
          <w:szCs w:val="32"/>
        </w:rPr>
      </w:pPr>
      <w:r>
        <w:rPr>
          <w:rFonts w:hint="eastAsia" w:ascii="仿宋_GB2312" w:hAnsi="黑体" w:eastAsia="仿宋_GB2312" w:cs="仿宋_GB2312"/>
          <w:sz w:val="32"/>
          <w:szCs w:val="32"/>
        </w:rPr>
        <w:t>（4）负责人口迁移及人口出生信息、流动人口信息、计划生育奖励扶助信息、再生育指标信息、孕情管理情况信息、计划生育科技信息等人口与计划生育信息的采集、录入、分析及上报工作。</w:t>
      </w:r>
    </w:p>
    <w:p>
      <w:pPr>
        <w:numPr>
          <w:ilvl w:val="0"/>
          <w:numId w:val="7"/>
        </w:numPr>
        <w:jc w:val="left"/>
        <w:rPr>
          <w:rFonts w:ascii="仿宋_GB2312" w:hAnsi="黑体" w:eastAsia="仿宋_GB2312" w:cs="仿宋_GB2312"/>
          <w:sz w:val="32"/>
          <w:szCs w:val="32"/>
        </w:rPr>
      </w:pPr>
      <w:r>
        <w:rPr>
          <w:rFonts w:hint="eastAsia" w:ascii="仿宋_GB2312" w:hAnsi="黑体" w:eastAsia="仿宋_GB2312" w:cs="仿宋_GB2312"/>
          <w:sz w:val="32"/>
          <w:szCs w:val="32"/>
        </w:rPr>
        <w:t>承办上级部门交办的其他工作。</w:t>
      </w:r>
    </w:p>
    <w:p>
      <w:pPr>
        <w:pStyle w:val="7"/>
        <w:ind w:left="720" w:firstLine="0" w:firstLineChars="0"/>
        <w:jc w:val="left"/>
        <w:rPr>
          <w:rFonts w:ascii="黑体" w:hAnsi="黑体" w:eastAsia="黑体" w:cs="仿宋_GB2312"/>
          <w:sz w:val="32"/>
          <w:szCs w:val="32"/>
        </w:rPr>
      </w:pPr>
      <w:r>
        <w:rPr>
          <w:rFonts w:hint="eastAsia" w:ascii="黑体" w:hAnsi="黑体" w:eastAsia="黑体" w:cs="仿宋_GB2312"/>
          <w:sz w:val="32"/>
          <w:szCs w:val="32"/>
        </w:rPr>
        <w:t>二、单位机构设置</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三亚市卫生计生信息中心单位编制10人，无内设机构。</w:t>
      </w:r>
    </w:p>
    <w:p>
      <w:pPr>
        <w:ind w:firstLine="640" w:firstLineChars="200"/>
        <w:rPr>
          <w:rFonts w:hint="eastAsia" w:ascii="仿宋_GB2312" w:hAnsi="黑体" w:eastAsia="仿宋_GB2312" w:cs="仿宋_GB2312"/>
          <w:sz w:val="32"/>
          <w:szCs w:val="32"/>
          <w:highlight w:val="yellow"/>
        </w:rPr>
      </w:pPr>
    </w:p>
    <w:p>
      <w:pPr>
        <w:ind w:firstLine="640" w:firstLineChars="200"/>
        <w:rPr>
          <w:rFonts w:ascii="黑体" w:hAnsi="黑体" w:eastAsia="黑体"/>
          <w:sz w:val="32"/>
          <w:szCs w:val="32"/>
        </w:rPr>
      </w:pPr>
      <w:r>
        <w:rPr>
          <w:rFonts w:hint="eastAsia" w:ascii="黑体" w:hAnsi="黑体" w:eastAsia="黑体"/>
          <w:sz w:val="32"/>
          <w:szCs w:val="32"/>
        </w:rPr>
        <w:t>第二部三亚市卫生计生信息中心</w:t>
      </w:r>
      <w:r>
        <w:rPr>
          <w:rFonts w:ascii="黑体" w:hAnsi="黑体" w:eastAsia="黑体"/>
          <w:sz w:val="32"/>
          <w:szCs w:val="32"/>
        </w:rPr>
        <w:t>2024</w:t>
      </w:r>
      <w:r>
        <w:rPr>
          <w:rFonts w:hint="eastAsia" w:ascii="黑体" w:hAnsi="黑体" w:eastAsia="黑体"/>
          <w:sz w:val="32"/>
          <w:szCs w:val="32"/>
        </w:rPr>
        <w:t>年单位预算表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第三部分 三亚市卫生计生信息中心</w:t>
      </w:r>
      <w:r>
        <w:rPr>
          <w:rFonts w:ascii="黑体" w:hAnsi="黑体" w:eastAsia="黑体" w:cs="仿宋_GB2312"/>
          <w:sz w:val="32"/>
          <w:szCs w:val="32"/>
        </w:rPr>
        <w:t>202</w:t>
      </w:r>
      <w:r>
        <w:rPr>
          <w:rFonts w:hint="eastAsia" w:ascii="黑体" w:hAnsi="黑体" w:eastAsia="黑体" w:cs="仿宋_GB2312"/>
          <w:sz w:val="32"/>
          <w:szCs w:val="32"/>
        </w:rPr>
        <w:t>4</w:t>
      </w:r>
      <w:r>
        <w:rPr>
          <w:rFonts w:hint="eastAsia" w:ascii="黑体" w:hAnsi="黑体" w:eastAsia="黑体"/>
          <w:sz w:val="32"/>
          <w:szCs w:val="32"/>
        </w:rPr>
        <w:t>年单位预算情况说明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一、关于三亚市卫生计生信息中心</w:t>
      </w:r>
      <w:r>
        <w:rPr>
          <w:rFonts w:ascii="黑体" w:hAnsi="黑体" w:eastAsia="黑体" w:cs="仿宋_GB2312"/>
          <w:sz w:val="32"/>
          <w:szCs w:val="32"/>
        </w:rPr>
        <w:t>2024</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三亚市卫生计生信息中心</w:t>
      </w:r>
      <w:r>
        <w:rPr>
          <w:rFonts w:hint="eastAsia" w:ascii="仿宋_GB2312" w:hAnsi="黑体" w:eastAsia="仿宋_GB2312" w:cs="仿宋_GB2312"/>
          <w:sz w:val="32"/>
          <w:szCs w:val="32"/>
        </w:rPr>
        <w:t>2024</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rPr>
        <w:t>337.19</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rPr>
        <w:t>337.19</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rPr>
        <w:t>337.19</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rPr>
        <w:t>337.19</w:t>
      </w:r>
      <w:r>
        <w:rPr>
          <w:rFonts w:hint="eastAsia" w:ascii="仿宋_GB2312" w:hAnsi="黑体" w:eastAsia="仿宋_GB2312"/>
          <w:sz w:val="32"/>
          <w:szCs w:val="32"/>
        </w:rPr>
        <w:t>万元，包括社会保障和就业支出</w:t>
      </w:r>
      <w:r>
        <w:rPr>
          <w:rFonts w:hint="eastAsia" w:ascii="仿宋_GB2312" w:hAnsi="黑体" w:eastAsia="仿宋_GB2312" w:cs="仿宋_GB2312"/>
          <w:sz w:val="32"/>
          <w:szCs w:val="32"/>
        </w:rPr>
        <w:t>100.78</w:t>
      </w:r>
      <w:r>
        <w:rPr>
          <w:rFonts w:hint="eastAsia" w:ascii="仿宋_GB2312" w:hAnsi="黑体" w:eastAsia="仿宋_GB2312"/>
          <w:sz w:val="32"/>
          <w:szCs w:val="32"/>
        </w:rPr>
        <w:t>万元、卫生健康支出</w:t>
      </w:r>
      <w:r>
        <w:rPr>
          <w:rFonts w:hint="eastAsia" w:ascii="仿宋_GB2312" w:hAnsi="黑体" w:eastAsia="仿宋_GB2312" w:cs="仿宋_GB2312"/>
          <w:sz w:val="32"/>
          <w:szCs w:val="32"/>
        </w:rPr>
        <w:t>217.46</w:t>
      </w:r>
      <w:r>
        <w:rPr>
          <w:rFonts w:hint="eastAsia" w:ascii="仿宋_GB2312" w:hAnsi="黑体" w:eastAsia="仿宋_GB2312"/>
          <w:sz w:val="32"/>
          <w:szCs w:val="32"/>
        </w:rPr>
        <w:t>万元、住房保障支出</w:t>
      </w:r>
      <w:r>
        <w:rPr>
          <w:rFonts w:hint="eastAsia" w:ascii="仿宋_GB2312" w:hAnsi="黑体" w:eastAsia="仿宋_GB2312" w:cs="仿宋_GB2312"/>
          <w:sz w:val="32"/>
          <w:szCs w:val="32"/>
        </w:rPr>
        <w:t>18.95</w:t>
      </w:r>
      <w:r>
        <w:rPr>
          <w:rFonts w:hint="eastAsia" w:ascii="仿宋_GB2312" w:hAnsi="黑体" w:eastAsia="仿宋_GB2312"/>
          <w:sz w:val="32"/>
          <w:szCs w:val="32"/>
        </w:rPr>
        <w:t>万元，结转下年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二、关于三亚市卫生计生信息中心</w:t>
      </w:r>
      <w:r>
        <w:rPr>
          <w:rFonts w:hint="eastAsia" w:ascii="黑体" w:hAnsi="黑体" w:eastAsia="黑体" w:cs="仿宋_GB2312"/>
          <w:sz w:val="32"/>
          <w:szCs w:val="32"/>
        </w:rPr>
        <w:t>2024</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三亚市卫生计生信息中心</w:t>
      </w:r>
      <w:r>
        <w:rPr>
          <w:rFonts w:hint="eastAsia" w:ascii="仿宋_GB2312" w:hAnsi="黑体" w:eastAsia="仿宋_GB2312" w:cs="仿宋_GB2312"/>
          <w:sz w:val="32"/>
          <w:szCs w:val="32"/>
        </w:rPr>
        <w:t>2024</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rPr>
        <w:t>337.19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增加41.34</w:t>
      </w:r>
      <w:r>
        <w:rPr>
          <w:rFonts w:hint="eastAsia" w:ascii="仿宋_GB2312" w:hAnsi="黑体" w:eastAsia="仿宋_GB2312"/>
          <w:sz w:val="32"/>
          <w:szCs w:val="32"/>
        </w:rPr>
        <w:t>万元，主要是人员经费支出。</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社会保障和就业（类）支出100.78</w:t>
      </w:r>
      <w:r>
        <w:rPr>
          <w:rFonts w:hint="eastAsia" w:ascii="仿宋_GB2312" w:hAnsi="黑体" w:eastAsia="仿宋_GB2312"/>
          <w:sz w:val="32"/>
          <w:szCs w:val="32"/>
        </w:rPr>
        <w:t>万元，占</w:t>
      </w:r>
      <w:r>
        <w:rPr>
          <w:rFonts w:hint="eastAsia" w:ascii="仿宋_GB2312" w:hAnsi="黑体" w:eastAsia="仿宋_GB2312" w:cs="仿宋_GB2312"/>
          <w:sz w:val="32"/>
          <w:szCs w:val="32"/>
        </w:rPr>
        <w:t>29.89</w:t>
      </w:r>
      <w:r>
        <w:rPr>
          <w:rFonts w:hint="eastAsia" w:ascii="仿宋_GB2312" w:hAnsi="黑体" w:eastAsia="仿宋_GB2312"/>
          <w:sz w:val="32"/>
          <w:szCs w:val="32"/>
        </w:rPr>
        <w:t>%；卫生健康（类）</w:t>
      </w:r>
      <w:r>
        <w:rPr>
          <w:rFonts w:hint="eastAsia" w:ascii="仿宋_GB2312" w:hAnsi="黑体" w:eastAsia="仿宋_GB2312" w:cs="仿宋_GB2312"/>
          <w:sz w:val="32"/>
          <w:szCs w:val="32"/>
        </w:rPr>
        <w:t>支出217.46</w:t>
      </w:r>
      <w:r>
        <w:rPr>
          <w:rFonts w:hint="eastAsia" w:ascii="仿宋_GB2312" w:hAnsi="黑体" w:eastAsia="仿宋_GB2312"/>
          <w:sz w:val="32"/>
          <w:szCs w:val="32"/>
        </w:rPr>
        <w:t>万元，占</w:t>
      </w:r>
      <w:r>
        <w:rPr>
          <w:rFonts w:hint="eastAsia" w:ascii="仿宋_GB2312" w:hAnsi="黑体" w:eastAsia="仿宋_GB2312" w:cs="仿宋_GB2312"/>
          <w:sz w:val="32"/>
          <w:szCs w:val="32"/>
        </w:rPr>
        <w:t>64.49</w:t>
      </w:r>
      <w:r>
        <w:rPr>
          <w:rFonts w:hint="eastAsia" w:ascii="仿宋_GB2312" w:hAnsi="黑体" w:eastAsia="仿宋_GB2312"/>
          <w:sz w:val="32"/>
          <w:szCs w:val="32"/>
        </w:rPr>
        <w:t>%；住房保障（类）</w:t>
      </w:r>
      <w:r>
        <w:rPr>
          <w:rFonts w:hint="eastAsia" w:ascii="仿宋_GB2312" w:hAnsi="黑体" w:eastAsia="仿宋_GB2312" w:cs="仿宋_GB2312"/>
          <w:sz w:val="32"/>
          <w:szCs w:val="32"/>
        </w:rPr>
        <w:t>支出18.95</w:t>
      </w:r>
      <w:r>
        <w:rPr>
          <w:rFonts w:hint="eastAsia" w:ascii="仿宋_GB2312" w:hAnsi="黑体" w:eastAsia="仿宋_GB2312"/>
          <w:sz w:val="32"/>
          <w:szCs w:val="32"/>
        </w:rPr>
        <w:t>万元，占</w:t>
      </w:r>
      <w:r>
        <w:rPr>
          <w:rFonts w:hint="eastAsia" w:ascii="仿宋_GB2312" w:hAnsi="黑体" w:eastAsia="仿宋_GB2312" w:cs="仿宋_GB2312"/>
          <w:sz w:val="32"/>
          <w:szCs w:val="32"/>
        </w:rPr>
        <w:t>5.62</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1.社会保障和就业（类）行政事业单位养老（款）机关事业单位基本养老保险缴费（项）2024</w:t>
      </w:r>
      <w:r>
        <w:rPr>
          <w:rFonts w:hint="eastAsia" w:ascii="仿宋_GB2312" w:hAnsi="黑体" w:eastAsia="仿宋_GB2312"/>
          <w:sz w:val="32"/>
          <w:szCs w:val="32"/>
        </w:rPr>
        <w:t>年预算数为</w:t>
      </w:r>
      <w:r>
        <w:rPr>
          <w:rFonts w:hint="eastAsia" w:ascii="仿宋_GB2312" w:hAnsi="黑体" w:eastAsia="仿宋_GB2312" w:cs="仿宋_GB2312"/>
          <w:sz w:val="32"/>
          <w:szCs w:val="32"/>
        </w:rPr>
        <w:t>27.19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增加7.51</w:t>
      </w:r>
      <w:r>
        <w:rPr>
          <w:rFonts w:hint="eastAsia" w:ascii="仿宋_GB2312" w:hAnsi="黑体" w:eastAsia="仿宋_GB2312"/>
          <w:sz w:val="32"/>
          <w:szCs w:val="32"/>
        </w:rPr>
        <w:t>万元，主要是人员变动。</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社会保障和就业（类）行政事业单位养老（款）机关事业单位职业年金缴费（项）2024</w:t>
      </w:r>
      <w:r>
        <w:rPr>
          <w:rFonts w:hint="eastAsia" w:ascii="仿宋_GB2312" w:hAnsi="黑体" w:eastAsia="仿宋_GB2312"/>
          <w:sz w:val="32"/>
          <w:szCs w:val="32"/>
        </w:rPr>
        <w:t>年预算数为</w:t>
      </w:r>
      <w:r>
        <w:rPr>
          <w:rFonts w:hint="eastAsia" w:ascii="仿宋_GB2312" w:hAnsi="黑体" w:eastAsia="仿宋_GB2312" w:cs="仿宋_GB2312"/>
          <w:sz w:val="32"/>
          <w:szCs w:val="32"/>
        </w:rPr>
        <w:t>73.59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增加3.75</w:t>
      </w:r>
      <w:r>
        <w:rPr>
          <w:rFonts w:hint="eastAsia" w:ascii="仿宋_GB2312" w:hAnsi="黑体" w:eastAsia="仿宋_GB2312"/>
          <w:sz w:val="32"/>
          <w:szCs w:val="32"/>
        </w:rPr>
        <w:t>万元，主要是补缴职业年金记实。</w:t>
      </w:r>
    </w:p>
    <w:p>
      <w:pPr>
        <w:ind w:firstLine="640" w:firstLineChars="200"/>
        <w:rPr>
          <w:rFonts w:ascii="仿宋_GB2312" w:hAnsi="黑体" w:eastAsia="仿宋_GB2312" w:cs="仿宋_GB2312"/>
          <w:sz w:val="32"/>
          <w:szCs w:val="32"/>
        </w:rPr>
      </w:pPr>
      <w:r>
        <w:rPr>
          <w:rFonts w:hint="eastAsia" w:ascii="仿宋_GB2312" w:hAnsi="黑体" w:eastAsia="仿宋_GB2312"/>
          <w:sz w:val="32"/>
          <w:szCs w:val="32"/>
        </w:rPr>
        <w:t>3.</w:t>
      </w:r>
      <w:r>
        <w:rPr>
          <w:rFonts w:hint="eastAsia" w:ascii="仿宋_GB2312" w:hAnsi="黑体" w:eastAsia="仿宋_GB2312" w:cs="仿宋_GB2312"/>
          <w:sz w:val="32"/>
          <w:szCs w:val="32"/>
        </w:rPr>
        <w:t xml:space="preserve"> 卫生健康（类）卫生健康管理事务（款）其他卫生健康管理事务（项）2024</w:t>
      </w:r>
      <w:r>
        <w:rPr>
          <w:rFonts w:hint="eastAsia" w:ascii="仿宋_GB2312" w:hAnsi="黑体" w:eastAsia="仿宋_GB2312"/>
          <w:sz w:val="32"/>
          <w:szCs w:val="32"/>
        </w:rPr>
        <w:t>年预算数为</w:t>
      </w:r>
      <w:r>
        <w:rPr>
          <w:rFonts w:hint="eastAsia" w:ascii="仿宋_GB2312" w:hAnsi="黑体" w:eastAsia="仿宋_GB2312" w:cs="仿宋_GB2312"/>
          <w:sz w:val="32"/>
          <w:szCs w:val="32"/>
        </w:rPr>
        <w:t>193.17</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增加26.53</w:t>
      </w:r>
      <w:r>
        <w:rPr>
          <w:rFonts w:hint="eastAsia" w:ascii="仿宋_GB2312" w:hAnsi="黑体" w:eastAsia="仿宋_GB2312"/>
          <w:sz w:val="32"/>
          <w:szCs w:val="32"/>
        </w:rPr>
        <w:t>万元，主要是人员变动。</w:t>
      </w:r>
    </w:p>
    <w:p>
      <w:pPr>
        <w:ind w:firstLine="640" w:firstLineChars="200"/>
        <w:rPr>
          <w:rFonts w:ascii="仿宋_GB2312" w:hAnsi="黑体" w:eastAsia="仿宋_GB2312"/>
          <w:sz w:val="32"/>
          <w:szCs w:val="32"/>
        </w:rPr>
      </w:pPr>
      <w:r>
        <w:rPr>
          <w:rFonts w:hint="eastAsia" w:ascii="仿宋_GB2312" w:hAnsi="黑体" w:eastAsia="仿宋_GB2312"/>
          <w:sz w:val="32"/>
          <w:szCs w:val="32"/>
        </w:rPr>
        <w:t>4.</w:t>
      </w:r>
      <w:r>
        <w:rPr>
          <w:rFonts w:hint="eastAsia" w:ascii="仿宋_GB2312" w:hAnsi="黑体" w:eastAsia="仿宋_GB2312" w:cs="仿宋_GB2312"/>
          <w:sz w:val="32"/>
          <w:szCs w:val="32"/>
        </w:rPr>
        <w:t xml:space="preserve"> 卫生健康（类）行政事业单位医疗（款）事业单位医疗（项）2024</w:t>
      </w:r>
      <w:r>
        <w:rPr>
          <w:rFonts w:hint="eastAsia" w:ascii="仿宋_GB2312" w:hAnsi="黑体" w:eastAsia="仿宋_GB2312"/>
          <w:sz w:val="32"/>
          <w:szCs w:val="32"/>
        </w:rPr>
        <w:t>年预算数为</w:t>
      </w:r>
      <w:r>
        <w:rPr>
          <w:rFonts w:hint="eastAsia" w:ascii="仿宋_GB2312" w:hAnsi="黑体" w:eastAsia="仿宋_GB2312" w:cs="仿宋_GB2312"/>
          <w:sz w:val="32"/>
          <w:szCs w:val="32"/>
        </w:rPr>
        <w:t>8.49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增加1.01</w:t>
      </w:r>
      <w:r>
        <w:rPr>
          <w:rFonts w:hint="eastAsia" w:ascii="仿宋_GB2312" w:hAnsi="黑体" w:eastAsia="仿宋_GB2312"/>
          <w:sz w:val="32"/>
          <w:szCs w:val="32"/>
        </w:rPr>
        <w:t>万元，主要是人员变动。</w:t>
      </w:r>
    </w:p>
    <w:p>
      <w:pPr>
        <w:ind w:firstLine="640" w:firstLineChars="200"/>
        <w:rPr>
          <w:rFonts w:ascii="仿宋_GB2312" w:hAnsi="黑体" w:eastAsia="仿宋_GB2312"/>
          <w:sz w:val="32"/>
          <w:szCs w:val="32"/>
        </w:rPr>
      </w:pPr>
      <w:r>
        <w:rPr>
          <w:rFonts w:hint="eastAsia" w:ascii="仿宋_GB2312" w:hAnsi="黑体" w:eastAsia="仿宋_GB2312"/>
          <w:sz w:val="32"/>
          <w:szCs w:val="32"/>
        </w:rPr>
        <w:t>5.</w:t>
      </w:r>
      <w:r>
        <w:rPr>
          <w:rFonts w:hint="eastAsia" w:ascii="仿宋_GB2312" w:hAnsi="黑体" w:eastAsia="仿宋_GB2312" w:cs="仿宋_GB2312"/>
          <w:sz w:val="32"/>
          <w:szCs w:val="32"/>
        </w:rPr>
        <w:t xml:space="preserve"> 卫生健康（类）行政事业单位医疗（款）公务员医疗补助（项）2024</w:t>
      </w:r>
      <w:r>
        <w:rPr>
          <w:rFonts w:hint="eastAsia" w:ascii="仿宋_GB2312" w:hAnsi="黑体" w:eastAsia="仿宋_GB2312"/>
          <w:sz w:val="32"/>
          <w:szCs w:val="32"/>
        </w:rPr>
        <w:t>年预算数为</w:t>
      </w:r>
      <w:r>
        <w:rPr>
          <w:rFonts w:hint="eastAsia" w:ascii="仿宋_GB2312" w:hAnsi="黑体" w:eastAsia="仿宋_GB2312" w:cs="仿宋_GB2312"/>
          <w:sz w:val="32"/>
          <w:szCs w:val="32"/>
        </w:rPr>
        <w:t>15.79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增加1.15</w:t>
      </w:r>
      <w:r>
        <w:rPr>
          <w:rFonts w:hint="eastAsia" w:ascii="仿宋_GB2312" w:hAnsi="黑体" w:eastAsia="仿宋_GB2312"/>
          <w:sz w:val="32"/>
          <w:szCs w:val="32"/>
        </w:rPr>
        <w:t>万元，主要是人员变动。</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6.住房保障（类）住房改革（款）住房公积金（项）2024</w:t>
      </w:r>
      <w:r>
        <w:rPr>
          <w:rFonts w:hint="eastAsia" w:ascii="仿宋_GB2312" w:hAnsi="黑体" w:eastAsia="仿宋_GB2312"/>
          <w:sz w:val="32"/>
          <w:szCs w:val="32"/>
        </w:rPr>
        <w:t>年预算数为</w:t>
      </w:r>
      <w:r>
        <w:rPr>
          <w:rFonts w:hint="eastAsia" w:ascii="仿宋_GB2312" w:hAnsi="黑体" w:eastAsia="仿宋_GB2312" w:cs="仿宋_GB2312"/>
          <w:sz w:val="32"/>
          <w:szCs w:val="32"/>
        </w:rPr>
        <w:t>18.95</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增加1.38</w:t>
      </w:r>
      <w:r>
        <w:rPr>
          <w:rFonts w:hint="eastAsia" w:ascii="仿宋_GB2312" w:hAnsi="黑体" w:eastAsia="仿宋_GB2312"/>
          <w:sz w:val="32"/>
          <w:szCs w:val="32"/>
        </w:rPr>
        <w:t>万元，主要是人员变动。</w:t>
      </w:r>
    </w:p>
    <w:p>
      <w:pPr>
        <w:ind w:firstLine="640"/>
        <w:rPr>
          <w:rFonts w:ascii="黑体" w:hAnsi="黑体" w:eastAsia="黑体"/>
          <w:sz w:val="32"/>
          <w:szCs w:val="32"/>
        </w:rPr>
      </w:pPr>
      <w:r>
        <w:rPr>
          <w:rFonts w:hint="eastAsia" w:ascii="黑体" w:hAnsi="黑体" w:eastAsia="黑体"/>
          <w:sz w:val="32"/>
          <w:szCs w:val="32"/>
        </w:rPr>
        <w:t>三、关于三亚市卫生计生信息中心</w:t>
      </w:r>
      <w:r>
        <w:rPr>
          <w:rFonts w:ascii="黑体" w:hAnsi="黑体" w:eastAsia="黑体"/>
          <w:sz w:val="32"/>
          <w:szCs w:val="32"/>
        </w:rPr>
        <w:t>2024</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三亚市卫生计生信息中心</w:t>
      </w:r>
      <w:r>
        <w:rPr>
          <w:rFonts w:hint="eastAsia" w:ascii="仿宋_GB2312" w:hAnsi="黑体" w:eastAsia="仿宋_GB2312" w:cs="仿宋_GB2312"/>
          <w:sz w:val="32"/>
          <w:szCs w:val="32"/>
        </w:rPr>
        <w:t>2024</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rPr>
        <w:t>337.19</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rPr>
        <w:t>324.58</w:t>
      </w:r>
      <w:r>
        <w:rPr>
          <w:rFonts w:hint="eastAsia" w:ascii="仿宋_GB2312" w:hAnsi="黑体" w:eastAsia="仿宋_GB2312"/>
          <w:sz w:val="32"/>
          <w:szCs w:val="32"/>
        </w:rPr>
        <w:t>万元，主要包括：基本工资、津贴补贴、奖金、绩效工资、机关事业单位基本养老保险缴费、职业年金缴费、职工基本医疗保险缴费、公务员医疗补助缴费、其他社会保障缴费、住房公积金、医疗费、其他工资福利支出、邮电费、奖励金;</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rPr>
        <w:t>12.61</w:t>
      </w:r>
      <w:r>
        <w:rPr>
          <w:rFonts w:hint="eastAsia" w:ascii="仿宋_GB2312" w:hAnsi="黑体" w:eastAsia="仿宋_GB2312"/>
          <w:sz w:val="32"/>
          <w:szCs w:val="32"/>
        </w:rPr>
        <w:t>万元，主要包括：办公费、会议费、培训费、工会经费、福利费、其他商品和服务支出。</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三亚市卫生计生信息中心2024</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（一）三亚市卫生计生信息中心</w:t>
      </w:r>
      <w:r>
        <w:rPr>
          <w:rFonts w:hint="eastAsia" w:ascii="仿宋_GB2312" w:hAnsi="黑体" w:eastAsia="仿宋_GB2312" w:cs="仿宋_GB2312"/>
          <w:sz w:val="32"/>
          <w:szCs w:val="32"/>
        </w:rPr>
        <w:t>2024</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40" w:firstLineChars="20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年预算持平。根据</w:t>
      </w:r>
      <w:r>
        <w:rPr>
          <w:rFonts w:hint="eastAsia" w:ascii="Times New Roman" w:hAnsi="Times New Roman" w:eastAsia="仿宋_GB2312" w:cs="Times New Roman"/>
          <w:sz w:val="32"/>
          <w:shd w:val="clear" w:color="auto" w:fill="FFFFFF"/>
        </w:rPr>
        <w:t>三亚外事办</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rPr>
        <w:t>2024</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人。公务用车购置及运行费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rPr>
        <w:t>0辆，计划购置0辆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rPr>
        <w:t>0批0人</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（二）三亚市卫生计生信息中心</w:t>
      </w:r>
      <w:r>
        <w:rPr>
          <w:rFonts w:hint="eastAsia" w:ascii="仿宋_GB2312" w:hAnsi="黑体" w:eastAsia="仿宋_GB2312" w:cs="仿宋_GB2312"/>
          <w:sz w:val="32"/>
          <w:szCs w:val="32"/>
        </w:rPr>
        <w:t>2024</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ind w:firstLine="640" w:firstLineChars="20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年预算持平。根据</w:t>
      </w:r>
      <w:r>
        <w:rPr>
          <w:rFonts w:hint="eastAsia" w:ascii="Times New Roman" w:hAnsi="Times New Roman" w:eastAsia="仿宋_GB2312" w:cs="Times New Roman"/>
          <w:sz w:val="32"/>
          <w:shd w:val="clear" w:color="auto" w:fill="FFFFFF"/>
        </w:rPr>
        <w:t>三亚外事办</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rPr>
        <w:t>2024</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人。公务用车购置及运行费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rPr>
        <w:t>0辆，计划购置0辆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rPr>
        <w:t>0批0人</w:t>
      </w:r>
      <w:r>
        <w:rPr>
          <w:rFonts w:hint="eastAsia" w:ascii="Times New Roman" w:hAnsi="Times New Roman" w:eastAsia="仿宋_GB2312" w:cs="Times New Roman"/>
          <w:sz w:val="32"/>
          <w:shd w:val="clear" w:color="auto" w:fill="FFFFFF"/>
        </w:rPr>
        <w:t>。</w:t>
      </w:r>
    </w:p>
    <w:p>
      <w:pPr>
        <w:ind w:firstLine="63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rPr>
        <w:t>三亚市卫生计生信息中心2024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三亚市卫生计生信息中心</w:t>
      </w:r>
      <w:r>
        <w:rPr>
          <w:rFonts w:hint="eastAsia" w:ascii="仿宋_GB2312" w:hAnsi="黑体" w:eastAsia="仿宋_GB2312" w:cs="仿宋_GB2312"/>
          <w:sz w:val="32"/>
          <w:szCs w:val="32"/>
        </w:rPr>
        <w:t>2024</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科学技术支出（类）核电站乏燃料处理处置基金支出（款）乏燃料运输（项）2024</w:t>
      </w:r>
      <w:r>
        <w:rPr>
          <w:rFonts w:hint="eastAsia" w:ascii="仿宋_GB2312" w:hAnsi="黑体" w:eastAsia="仿宋_GB2312"/>
          <w:sz w:val="32"/>
          <w:szCs w:val="32"/>
        </w:rPr>
        <w:t>年预算数为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科学技术支出（类）核电站乏燃料处理处置基金支出（款）乏燃料离堆贮存（项）2024</w:t>
      </w:r>
      <w:r>
        <w:rPr>
          <w:rFonts w:hint="eastAsia" w:ascii="仿宋_GB2312" w:hAnsi="黑体" w:eastAsia="仿宋_GB2312"/>
          <w:sz w:val="32"/>
          <w:szCs w:val="32"/>
        </w:rPr>
        <w:t>年预算数为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三亚市卫生计生信息中心2024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rPr>
        <w:t>三亚市卫生计生信息中心</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sz w:val="32"/>
          <w:szCs w:val="32"/>
        </w:rPr>
        <w:t>；支出包括：社会保障和就业支出、卫生健康支出、住房保障支出。三亚市卫生计生信息中心</w:t>
      </w:r>
      <w:r>
        <w:rPr>
          <w:rFonts w:hint="eastAsia" w:ascii="仿宋_GB2312" w:hAnsi="黑体" w:eastAsia="仿宋_GB2312" w:cs="仿宋_GB2312"/>
          <w:sz w:val="32"/>
          <w:szCs w:val="32"/>
        </w:rPr>
        <w:t>2024</w:t>
      </w:r>
      <w:r>
        <w:rPr>
          <w:rFonts w:hint="eastAsia" w:ascii="仿宋_GB2312" w:hAnsi="黑体" w:eastAsia="仿宋_GB2312"/>
          <w:sz w:val="32"/>
          <w:szCs w:val="32"/>
        </w:rPr>
        <w:t>年收支总预算</w:t>
      </w:r>
      <w:r>
        <w:rPr>
          <w:rFonts w:hint="eastAsia" w:ascii="仿宋_GB2312" w:hAnsi="黑体" w:eastAsia="仿宋_GB2312" w:cs="仿宋_GB2312"/>
          <w:sz w:val="32"/>
          <w:szCs w:val="32"/>
        </w:rPr>
        <w:t>337.19</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三亚市卫生计生信息中心2024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三亚市卫生计生信息中心</w:t>
      </w:r>
      <w:r>
        <w:rPr>
          <w:rFonts w:hint="eastAsia" w:ascii="仿宋_GB2312" w:hAnsi="黑体" w:eastAsia="仿宋_GB2312" w:cs="仿宋_GB2312"/>
          <w:sz w:val="32"/>
          <w:szCs w:val="32"/>
        </w:rPr>
        <w:t>2024</w:t>
      </w:r>
      <w:r>
        <w:rPr>
          <w:rFonts w:hint="eastAsia" w:ascii="仿宋_GB2312" w:hAnsi="黑体" w:eastAsia="仿宋_GB2312"/>
          <w:sz w:val="32"/>
          <w:szCs w:val="32"/>
        </w:rPr>
        <w:t>年收入预算</w:t>
      </w:r>
      <w:r>
        <w:rPr>
          <w:rFonts w:hint="eastAsia" w:ascii="仿宋_GB2312" w:hAnsi="黑体" w:eastAsia="仿宋_GB2312" w:cs="仿宋_GB2312"/>
          <w:sz w:val="32"/>
          <w:szCs w:val="32"/>
        </w:rPr>
        <w:t>337.19</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%；一般公共预算拨款收入</w:t>
      </w:r>
      <w:r>
        <w:rPr>
          <w:rFonts w:hint="eastAsia" w:ascii="仿宋_GB2312" w:hAnsi="黑体" w:eastAsia="仿宋_GB2312" w:cs="仿宋_GB2312"/>
          <w:sz w:val="32"/>
          <w:szCs w:val="32"/>
        </w:rPr>
        <w:t>337.19</w:t>
      </w:r>
      <w:r>
        <w:rPr>
          <w:rFonts w:hint="eastAsia" w:ascii="仿宋_GB2312" w:hAnsi="黑体" w:eastAsia="仿宋_GB2312"/>
          <w:sz w:val="32"/>
          <w:szCs w:val="32"/>
        </w:rPr>
        <w:t>万元，占</w:t>
      </w:r>
      <w:r>
        <w:rPr>
          <w:rFonts w:hint="eastAsia" w:ascii="仿宋_GB2312" w:hAnsi="黑体" w:eastAsia="仿宋_GB2312" w:cs="仿宋_GB2312"/>
          <w:sz w:val="32"/>
          <w:szCs w:val="32"/>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%；专项收入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增加41.34</w:t>
      </w:r>
      <w:r>
        <w:rPr>
          <w:rFonts w:hint="eastAsia" w:ascii="仿宋_GB2312" w:hAnsi="黑体" w:eastAsia="仿宋_GB2312"/>
          <w:sz w:val="32"/>
          <w:szCs w:val="32"/>
        </w:rPr>
        <w:t>万元，主要是人员基本支出。</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rPr>
        <w:t>三亚市卫生计生信息中心2024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三亚市卫生计生信息中心</w:t>
      </w:r>
      <w:r>
        <w:rPr>
          <w:rFonts w:hint="eastAsia" w:ascii="仿宋_GB2312" w:hAnsi="黑体" w:eastAsia="仿宋_GB2312" w:cs="仿宋_GB2312"/>
          <w:sz w:val="32"/>
          <w:szCs w:val="32"/>
        </w:rPr>
        <w:t>2024</w:t>
      </w:r>
      <w:r>
        <w:rPr>
          <w:rFonts w:hint="eastAsia" w:ascii="仿宋_GB2312" w:hAnsi="黑体" w:eastAsia="仿宋_GB2312"/>
          <w:sz w:val="32"/>
          <w:szCs w:val="32"/>
        </w:rPr>
        <w:t>年支出预算</w:t>
      </w:r>
      <w:r>
        <w:rPr>
          <w:rFonts w:hint="eastAsia" w:ascii="仿宋_GB2312" w:hAnsi="黑体" w:eastAsia="仿宋_GB2312" w:cs="仿宋_GB2312"/>
          <w:sz w:val="32"/>
          <w:szCs w:val="32"/>
        </w:rPr>
        <w:t>337.19</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rPr>
        <w:t>337.19</w:t>
      </w:r>
      <w:r>
        <w:rPr>
          <w:rFonts w:hint="eastAsia" w:ascii="仿宋_GB2312" w:hAnsi="黑体" w:eastAsia="仿宋_GB2312"/>
          <w:sz w:val="32"/>
          <w:szCs w:val="32"/>
        </w:rPr>
        <w:t>万元，占</w:t>
      </w:r>
      <w:r>
        <w:rPr>
          <w:rFonts w:hint="eastAsia" w:ascii="仿宋_GB2312" w:hAnsi="黑体" w:eastAsia="仿宋_GB2312" w:cs="仿宋_GB2312"/>
          <w:sz w:val="32"/>
          <w:szCs w:val="32"/>
        </w:rPr>
        <w:t>100</w:t>
      </w:r>
      <w:r>
        <w:rPr>
          <w:rFonts w:hint="eastAsia" w:ascii="仿宋_GB2312" w:hAnsi="黑体" w:eastAsia="仿宋_GB2312"/>
          <w:sz w:val="32"/>
          <w:szCs w:val="32"/>
        </w:rPr>
        <w:t>%；项目支出</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增加41.34</w:t>
      </w:r>
      <w:r>
        <w:rPr>
          <w:rFonts w:hint="eastAsia" w:ascii="仿宋_GB2312" w:hAnsi="黑体" w:eastAsia="仿宋_GB2312"/>
          <w:sz w:val="32"/>
          <w:szCs w:val="32"/>
        </w:rPr>
        <w:t>万元，主要是人员基本支出。</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仿宋_GB2312" w:hAnsi="黑体" w:eastAsia="仿宋_GB2312" w:cs="仿宋_GB2312"/>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2024</w:t>
      </w:r>
      <w:r>
        <w:rPr>
          <w:rFonts w:hint="eastAsia" w:ascii="仿宋_GB2312" w:hAnsi="黑体" w:eastAsia="仿宋_GB2312"/>
          <w:sz w:val="32"/>
          <w:szCs w:val="32"/>
        </w:rPr>
        <w:t>年三亚市卫生计生信息中心</w:t>
      </w:r>
      <w:r>
        <w:rPr>
          <w:rFonts w:hint="eastAsia" w:ascii="仿宋_GB2312" w:hAnsi="黑体" w:eastAsia="仿宋_GB2312" w:cs="仿宋_GB2312"/>
          <w:sz w:val="32"/>
          <w:szCs w:val="32"/>
        </w:rPr>
        <w:t>的机关运行经费预算0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rPr>
        <w:t>2024</w:t>
      </w:r>
      <w:r>
        <w:rPr>
          <w:rFonts w:hint="eastAsia" w:ascii="仿宋_GB2312" w:hAnsi="黑体" w:eastAsia="仿宋_GB2312"/>
          <w:sz w:val="32"/>
          <w:szCs w:val="32"/>
        </w:rPr>
        <w:t>年</w:t>
      </w:r>
      <w:r>
        <w:rPr>
          <w:rFonts w:hint="eastAsia" w:ascii="仿宋_GB2312" w:hAnsi="黑体" w:eastAsia="仿宋_GB2312" w:cs="仿宋_GB2312"/>
          <w:sz w:val="32"/>
          <w:szCs w:val="32"/>
        </w:rPr>
        <w:t>三亚市卫生计生信息中心政府采购预算总额0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截至2023</w:t>
      </w:r>
      <w:r>
        <w:rPr>
          <w:rFonts w:hint="eastAsia" w:ascii="仿宋_GB2312" w:hAnsi="黑体" w:eastAsia="仿宋_GB2312"/>
          <w:sz w:val="32"/>
          <w:szCs w:val="32"/>
        </w:rPr>
        <w:t>年12月31日，</w:t>
      </w:r>
      <w:r>
        <w:rPr>
          <w:rFonts w:hint="eastAsia" w:ascii="仿宋_GB2312" w:hAnsi="黑体" w:eastAsia="仿宋_GB2312" w:cs="仿宋_GB2312"/>
          <w:sz w:val="32"/>
          <w:szCs w:val="32"/>
        </w:rPr>
        <w:t>三亚市卫生计生信息中心共有车辆0辆，其中，领导干部用车0辆，机要通信应急用车0辆、一般执法执勤用车0辆、特种专业技术用车0辆、其他用车0辆。单位价值100万元以上设备0台（套）。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2024</w:t>
      </w:r>
      <w:r>
        <w:rPr>
          <w:rFonts w:hint="eastAsia" w:ascii="仿宋_GB2312" w:hAnsi="黑体" w:eastAsia="仿宋_GB2312"/>
          <w:sz w:val="32"/>
          <w:szCs w:val="32"/>
        </w:rPr>
        <w:t>年</w:t>
      </w:r>
      <w:r>
        <w:rPr>
          <w:rFonts w:hint="eastAsia" w:ascii="仿宋_GB2312" w:hAnsi="黑体" w:eastAsia="仿宋_GB2312" w:cs="仿宋_GB2312"/>
          <w:sz w:val="32"/>
          <w:szCs w:val="32"/>
        </w:rPr>
        <w:t>三亚市卫生计生信息中心10个项目实行绩效目标管理，涉及一般公共预算337.19</w:t>
      </w:r>
      <w:r>
        <w:rPr>
          <w:rFonts w:hint="eastAsia" w:ascii="仿宋_GB2312" w:hAnsi="黑体" w:eastAsia="仿宋_GB2312"/>
          <w:sz w:val="32"/>
          <w:szCs w:val="32"/>
        </w:rPr>
        <w:t>万元、政府性基金</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个人农业生产补贴、代缴社会保险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牌照费）及燃料费、维修费、过路过桥费、保险费、安全奖励费用等支出；公务接待费指单位按规定开支的各类公务接待（含外宾接待）费用等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0F6734D"/>
    <w:multiLevelType w:val="multilevel"/>
    <w:tmpl w:val="10F6734D"/>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2E8F4ED4"/>
    <w:multiLevelType w:val="multilevel"/>
    <w:tmpl w:val="2E8F4ED4"/>
    <w:lvl w:ilvl="0" w:tentative="0">
      <w:start w:val="5"/>
      <w:numFmt w:val="decimal"/>
      <w:lvlText w:val="（%1）"/>
      <w:lvlJc w:val="left"/>
      <w:pPr>
        <w:ind w:left="1880" w:hanging="1080"/>
      </w:pPr>
      <w:rPr>
        <w:rFonts w:hint="default"/>
      </w:rPr>
    </w:lvl>
    <w:lvl w:ilvl="1" w:tentative="0">
      <w:start w:val="1"/>
      <w:numFmt w:val="lowerLetter"/>
      <w:lvlText w:val="%2)"/>
      <w:lvlJc w:val="left"/>
      <w:pPr>
        <w:ind w:left="1640" w:hanging="420"/>
      </w:pPr>
    </w:lvl>
    <w:lvl w:ilvl="2" w:tentative="0">
      <w:start w:val="1"/>
      <w:numFmt w:val="lowerRoman"/>
      <w:lvlText w:val="%3."/>
      <w:lvlJc w:val="right"/>
      <w:pPr>
        <w:ind w:left="2060" w:hanging="420"/>
      </w:pPr>
    </w:lvl>
    <w:lvl w:ilvl="3" w:tentative="0">
      <w:start w:val="1"/>
      <w:numFmt w:val="decimal"/>
      <w:lvlText w:val="%4."/>
      <w:lvlJc w:val="left"/>
      <w:pPr>
        <w:ind w:left="2480" w:hanging="420"/>
      </w:pPr>
    </w:lvl>
    <w:lvl w:ilvl="4" w:tentative="0">
      <w:start w:val="1"/>
      <w:numFmt w:val="lowerLetter"/>
      <w:lvlText w:val="%5)"/>
      <w:lvlJc w:val="left"/>
      <w:pPr>
        <w:ind w:left="2900" w:hanging="420"/>
      </w:pPr>
    </w:lvl>
    <w:lvl w:ilvl="5" w:tentative="0">
      <w:start w:val="1"/>
      <w:numFmt w:val="lowerRoman"/>
      <w:lvlText w:val="%6."/>
      <w:lvlJc w:val="right"/>
      <w:pPr>
        <w:ind w:left="3320" w:hanging="420"/>
      </w:pPr>
    </w:lvl>
    <w:lvl w:ilvl="6" w:tentative="0">
      <w:start w:val="1"/>
      <w:numFmt w:val="decimal"/>
      <w:lvlText w:val="%7."/>
      <w:lvlJc w:val="left"/>
      <w:pPr>
        <w:ind w:left="3740" w:hanging="420"/>
      </w:pPr>
    </w:lvl>
    <w:lvl w:ilvl="7" w:tentative="0">
      <w:start w:val="1"/>
      <w:numFmt w:val="lowerLetter"/>
      <w:lvlText w:val="%8)"/>
      <w:lvlJc w:val="left"/>
      <w:pPr>
        <w:ind w:left="4160" w:hanging="420"/>
      </w:pPr>
    </w:lvl>
    <w:lvl w:ilvl="8" w:tentative="0">
      <w:start w:val="1"/>
      <w:numFmt w:val="lowerRoman"/>
      <w:lvlText w:val="%9."/>
      <w:lvlJc w:val="right"/>
      <w:pPr>
        <w:ind w:left="4580" w:hanging="420"/>
      </w:p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07C2121"/>
    <w:multiLevelType w:val="multilevel"/>
    <w:tmpl w:val="707C2121"/>
    <w:lvl w:ilvl="0" w:tentative="0">
      <w:start w:val="1"/>
      <w:numFmt w:val="japaneseCounting"/>
      <w:lvlText w:val="%1、"/>
      <w:lvlJc w:val="left"/>
      <w:pPr>
        <w:ind w:left="1565" w:hanging="720"/>
      </w:pPr>
      <w:rPr>
        <w:rFonts w:hint="default"/>
      </w:rPr>
    </w:lvl>
    <w:lvl w:ilvl="1" w:tentative="0">
      <w:start w:val="1"/>
      <w:numFmt w:val="lowerLetter"/>
      <w:lvlText w:val="%2)"/>
      <w:lvlJc w:val="left"/>
      <w:pPr>
        <w:ind w:left="1685" w:hanging="420"/>
      </w:pPr>
    </w:lvl>
    <w:lvl w:ilvl="2" w:tentative="0">
      <w:start w:val="1"/>
      <w:numFmt w:val="lowerRoman"/>
      <w:lvlText w:val="%3."/>
      <w:lvlJc w:val="right"/>
      <w:pPr>
        <w:ind w:left="2105" w:hanging="420"/>
      </w:pPr>
    </w:lvl>
    <w:lvl w:ilvl="3" w:tentative="0">
      <w:start w:val="1"/>
      <w:numFmt w:val="decimal"/>
      <w:lvlText w:val="%4."/>
      <w:lvlJc w:val="left"/>
      <w:pPr>
        <w:ind w:left="2525" w:hanging="420"/>
      </w:pPr>
    </w:lvl>
    <w:lvl w:ilvl="4" w:tentative="0">
      <w:start w:val="1"/>
      <w:numFmt w:val="lowerLetter"/>
      <w:lvlText w:val="%5)"/>
      <w:lvlJc w:val="left"/>
      <w:pPr>
        <w:ind w:left="2945" w:hanging="420"/>
      </w:pPr>
    </w:lvl>
    <w:lvl w:ilvl="5" w:tentative="0">
      <w:start w:val="1"/>
      <w:numFmt w:val="lowerRoman"/>
      <w:lvlText w:val="%6."/>
      <w:lvlJc w:val="right"/>
      <w:pPr>
        <w:ind w:left="3365" w:hanging="420"/>
      </w:pPr>
    </w:lvl>
    <w:lvl w:ilvl="6" w:tentative="0">
      <w:start w:val="1"/>
      <w:numFmt w:val="decimal"/>
      <w:lvlText w:val="%7."/>
      <w:lvlJc w:val="left"/>
      <w:pPr>
        <w:ind w:left="3785" w:hanging="420"/>
      </w:pPr>
    </w:lvl>
    <w:lvl w:ilvl="7" w:tentative="0">
      <w:start w:val="1"/>
      <w:numFmt w:val="lowerLetter"/>
      <w:lvlText w:val="%8)"/>
      <w:lvlJc w:val="left"/>
      <w:pPr>
        <w:ind w:left="4205" w:hanging="420"/>
      </w:pPr>
    </w:lvl>
    <w:lvl w:ilvl="8" w:tentative="0">
      <w:start w:val="1"/>
      <w:numFmt w:val="lowerRoman"/>
      <w:lvlText w:val="%9."/>
      <w:lvlJc w:val="right"/>
      <w:pPr>
        <w:ind w:left="4625" w:hanging="420"/>
      </w:pPr>
    </w:lvl>
  </w:abstractNum>
  <w:abstractNum w:abstractNumId="6">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4"/>
  </w:num>
  <w:num w:numId="4">
    <w:abstractNumId w:val="6"/>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4956"/>
    <w:rsid w:val="00017846"/>
    <w:rsid w:val="00032D1B"/>
    <w:rsid w:val="00094956"/>
    <w:rsid w:val="001037A8"/>
    <w:rsid w:val="001431B0"/>
    <w:rsid w:val="00194E6D"/>
    <w:rsid w:val="00216D67"/>
    <w:rsid w:val="0024195B"/>
    <w:rsid w:val="00253721"/>
    <w:rsid w:val="00254CC8"/>
    <w:rsid w:val="00271686"/>
    <w:rsid w:val="00280AF8"/>
    <w:rsid w:val="002A5884"/>
    <w:rsid w:val="002C47DC"/>
    <w:rsid w:val="002C4884"/>
    <w:rsid w:val="002F75CF"/>
    <w:rsid w:val="00310C05"/>
    <w:rsid w:val="0031381F"/>
    <w:rsid w:val="00346673"/>
    <w:rsid w:val="004246C6"/>
    <w:rsid w:val="0045298B"/>
    <w:rsid w:val="004C505E"/>
    <w:rsid w:val="004C7969"/>
    <w:rsid w:val="004E13B1"/>
    <w:rsid w:val="004F5FD2"/>
    <w:rsid w:val="0051074E"/>
    <w:rsid w:val="00516C6B"/>
    <w:rsid w:val="00535953"/>
    <w:rsid w:val="0058178A"/>
    <w:rsid w:val="00641628"/>
    <w:rsid w:val="00680A05"/>
    <w:rsid w:val="006B57D2"/>
    <w:rsid w:val="007308E3"/>
    <w:rsid w:val="00793BEA"/>
    <w:rsid w:val="007B5042"/>
    <w:rsid w:val="007D634C"/>
    <w:rsid w:val="007E60C4"/>
    <w:rsid w:val="007F7096"/>
    <w:rsid w:val="00812D3F"/>
    <w:rsid w:val="00854CC9"/>
    <w:rsid w:val="0086101E"/>
    <w:rsid w:val="00874626"/>
    <w:rsid w:val="008C491C"/>
    <w:rsid w:val="00992017"/>
    <w:rsid w:val="009A7E19"/>
    <w:rsid w:val="00A2015E"/>
    <w:rsid w:val="00A523E0"/>
    <w:rsid w:val="00A87BB7"/>
    <w:rsid w:val="00AE00C7"/>
    <w:rsid w:val="00B114CD"/>
    <w:rsid w:val="00B46788"/>
    <w:rsid w:val="00B5053C"/>
    <w:rsid w:val="00B716E3"/>
    <w:rsid w:val="00B87050"/>
    <w:rsid w:val="00B911F9"/>
    <w:rsid w:val="00BD11AE"/>
    <w:rsid w:val="00C803F8"/>
    <w:rsid w:val="00CA3C45"/>
    <w:rsid w:val="00CB4314"/>
    <w:rsid w:val="00D4050E"/>
    <w:rsid w:val="00D76B2B"/>
    <w:rsid w:val="00D930B4"/>
    <w:rsid w:val="00D952E3"/>
    <w:rsid w:val="00DC5F58"/>
    <w:rsid w:val="00DE40ED"/>
    <w:rsid w:val="00DE6A45"/>
    <w:rsid w:val="00E40A66"/>
    <w:rsid w:val="00F3266E"/>
    <w:rsid w:val="00F63265"/>
    <w:rsid w:val="00F77515"/>
    <w:rsid w:val="00FA0FC1"/>
    <w:rsid w:val="00FC38E8"/>
    <w:rsid w:val="00FE45AF"/>
    <w:rsid w:val="153C6BA1"/>
    <w:rsid w:val="19D5DA33"/>
    <w:rsid w:val="1E724361"/>
    <w:rsid w:val="1FBF8E30"/>
    <w:rsid w:val="2BDF0DC0"/>
    <w:rsid w:val="2FF7110D"/>
    <w:rsid w:val="2FFFCED3"/>
    <w:rsid w:val="3BCA2926"/>
    <w:rsid w:val="3F7FB4B5"/>
    <w:rsid w:val="3FAD4D11"/>
    <w:rsid w:val="420109D2"/>
    <w:rsid w:val="4824065F"/>
    <w:rsid w:val="4FB80849"/>
    <w:rsid w:val="5DB7E539"/>
    <w:rsid w:val="66DACB0B"/>
    <w:rsid w:val="697BF56A"/>
    <w:rsid w:val="6B6CE30F"/>
    <w:rsid w:val="6C7F1319"/>
    <w:rsid w:val="6DDF74AC"/>
    <w:rsid w:val="6FAF0D8D"/>
    <w:rsid w:val="6FCFCADC"/>
    <w:rsid w:val="6FFA4FE6"/>
    <w:rsid w:val="75FB0B04"/>
    <w:rsid w:val="79F7B683"/>
    <w:rsid w:val="7D73BCCE"/>
    <w:rsid w:val="7DE79FA0"/>
    <w:rsid w:val="7DEBCAFF"/>
    <w:rsid w:val="7EDD8B29"/>
    <w:rsid w:val="7FA514C2"/>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0"/>
    <w:rPr>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semiHidden/>
    <w:qFormat/>
    <w:uiPriority w:val="99"/>
    <w:rPr>
      <w:sz w:val="18"/>
      <w:szCs w:val="18"/>
    </w:rPr>
  </w:style>
  <w:style w:type="character" w:customStyle="1" w:styleId="11">
    <w:name w:val="批注框文本 Char"/>
    <w:basedOn w:val="6"/>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641</Words>
  <Characters>3659</Characters>
  <Lines>30</Lines>
  <Paragraphs>8</Paragraphs>
  <TotalTime>2</TotalTime>
  <ScaleCrop>false</ScaleCrop>
  <LinksUpToDate>false</LinksUpToDate>
  <CharactersWithSpaces>4292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卢秋月</cp:lastModifiedBy>
  <dcterms:modified xsi:type="dcterms:W3CDTF">2024-02-04T01:29:08Z</dcterms:modified>
  <dc:title>××年××部门（单位）预算</dc:title>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