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asciiTheme="minorEastAsia" w:hAnsiTheme="minorEastAsia" w:eastAsiaTheme="minorEastAsia"/>
          <w:b/>
          <w:sz w:val="84"/>
          <w:szCs w:val="84"/>
        </w:rPr>
      </w:pPr>
      <w:r>
        <w:rPr>
          <w:rFonts w:hint="eastAsia" w:asciiTheme="minorEastAsia" w:hAnsiTheme="minorEastAsia" w:eastAsiaTheme="minorEastAsia"/>
          <w:b/>
          <w:sz w:val="52"/>
          <w:szCs w:val="52"/>
        </w:rPr>
        <w:t>2024年三亚市人民医院单位预算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三亚市人民医院</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0"/>
        </w:numPr>
        <w:ind w:leftChars="0"/>
        <w:jc w:val="left"/>
        <w:rPr>
          <w:rFonts w:hint="eastAsia" w:ascii="黑体" w:hAnsi="黑体" w:eastAsia="黑体"/>
          <w:sz w:val="32"/>
          <w:szCs w:val="32"/>
          <w:lang w:eastAsia="zh-CN"/>
        </w:rPr>
      </w:pPr>
      <w:r>
        <w:rPr>
          <w:rFonts w:hint="eastAsia" w:ascii="黑体" w:hAnsi="黑体" w:eastAsia="黑体"/>
          <w:sz w:val="32"/>
          <w:szCs w:val="32"/>
          <w:lang w:eastAsia="zh-CN"/>
        </w:rPr>
        <w:t>二、单位机构设置</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三亚市人民医院2024</w:t>
      </w:r>
      <w:r>
        <w:rPr>
          <w:rFonts w:hint="eastAsia" w:ascii="黑体" w:hAnsi="黑体" w:eastAsia="黑体"/>
          <w:sz w:val="32"/>
          <w:szCs w:val="32"/>
        </w:rPr>
        <w:t>年预算表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三亚市人民医院2024</w:t>
      </w:r>
      <w:r>
        <w:rPr>
          <w:rFonts w:hint="eastAsia" w:ascii="黑体" w:hAnsi="黑体" w:eastAsia="黑体"/>
          <w:sz w:val="32"/>
          <w:szCs w:val="32"/>
        </w:rPr>
        <w:t>年预算情况说明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三亚市人民医院</w:t>
      </w:r>
      <w:r>
        <w:rPr>
          <w:rFonts w:hint="eastAsia" w:ascii="黑体" w:hAnsi="黑体" w:eastAsia="黑体"/>
          <w:sz w:val="32"/>
          <w:szCs w:val="32"/>
        </w:rPr>
        <w:t>概况</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（一）贯彻落实新时期我国卫生与健康工作方针，坚持公益性，保障人民群众健康，推动医院各方面工作健康发展。</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（二）为人民群众提供医疗保健、疾病预防、健康教育、健康科普等医疗和一定的公共卫生服务。</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（三）承担院校医学教育、毕业后医学教育（含住院医师规范化培训、专科医师规范化培训）和继续医学教育，不断提升医学人才能力素质和工作水平。</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（四）开展临床医学和基础医学研究，推动医学科技成果转化。</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（五）按照举办主体和有关部门批准的范围开展对外技术交流和国际合作。</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（六）按照举办主体和有关部门批准的范围开展涉外医疗服务，承担重大活动医疗保障任务，承担突发公共事件的医疗卫生救助。</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（七）根据规划和需求，经三亚市人民政府和有关部门批准，可与社会力量合作举办新的非营利性医疗机构或在人才、管理、服务、技术、品牌等方面建立协议合作关系。</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（八）经三亚市人民政府和有关部门批准，与相关医疗机构组成医联体或医共体，推动形成基层首诊、双向转诊、急慢分治、上下联动的分级诊疗模式。</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（九）开展对口帮扶、送医下乡等健康扶贫和志愿者服务工作。</w:t>
      </w:r>
    </w:p>
    <w:p>
      <w:pPr>
        <w:pStyle w:val="7"/>
        <w:ind w:firstLineChars="0"/>
        <w:jc w:val="left"/>
        <w:rPr>
          <w:rFonts w:hint="eastAsia"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（十）承担上级党委和政府交办的其他事项。</w:t>
      </w:r>
    </w:p>
    <w:p>
      <w:pPr>
        <w:pStyle w:val="7"/>
        <w:ind w:firstLineChars="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二、单位机构设置</w:t>
      </w:r>
    </w:p>
    <w:p>
      <w:pPr>
        <w:pStyle w:val="7"/>
        <w:keepNext w:val="0"/>
        <w:keepLines w:val="0"/>
        <w:pageBreakBefore w:val="0"/>
        <w:widowControl w:val="0"/>
        <w:kinsoku/>
        <w:wordWrap/>
        <w:overflowPunct/>
        <w:topLinePunct w:val="0"/>
        <w:autoSpaceDE/>
        <w:autoSpaceDN/>
        <w:bidi w:val="0"/>
        <w:adjustRightInd/>
        <w:snapToGrid/>
        <w:ind w:firstLine="420" w:firstLineChars="0"/>
        <w:jc w:val="both"/>
        <w:textAlignment w:val="auto"/>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（一）医院设立中国国产党三亚市人民医院委员会，发挥把方向、管大局、促改革、保落实的领导作用；</w:t>
      </w:r>
    </w:p>
    <w:p>
      <w:pPr>
        <w:pStyle w:val="7"/>
        <w:keepNext w:val="0"/>
        <w:keepLines w:val="0"/>
        <w:pageBreakBefore w:val="0"/>
        <w:widowControl w:val="0"/>
        <w:kinsoku/>
        <w:wordWrap/>
        <w:overflowPunct/>
        <w:topLinePunct w:val="0"/>
        <w:autoSpaceDE/>
        <w:autoSpaceDN/>
        <w:bidi w:val="0"/>
        <w:adjustRightInd/>
        <w:snapToGrid/>
        <w:ind w:firstLine="420" w:firstLineChars="0"/>
        <w:jc w:val="both"/>
        <w:textAlignment w:val="auto"/>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（二）医院设院长1名。院长是医院运营管理的第一责任人，在医院党委领导下，全面负责医院医疗、教学、科研、行政管理工作，为医院的法定代表人；</w:t>
      </w:r>
    </w:p>
    <w:p>
      <w:pPr>
        <w:pStyle w:val="7"/>
        <w:keepNext w:val="0"/>
        <w:keepLines w:val="0"/>
        <w:pageBreakBefore w:val="0"/>
        <w:widowControl w:val="0"/>
        <w:kinsoku/>
        <w:wordWrap/>
        <w:overflowPunct/>
        <w:topLinePunct w:val="0"/>
        <w:autoSpaceDE/>
        <w:autoSpaceDN/>
        <w:bidi w:val="0"/>
        <w:adjustRightInd/>
        <w:snapToGrid/>
        <w:ind w:firstLine="420" w:firstLineChars="0"/>
        <w:jc w:val="both"/>
        <w:textAlignment w:val="auto"/>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三）医院内部管理机构设有21个管理部门，分别为：党委办公室、组织人事部、宣传统战部、纪检监察部、工会、院长办公室、审计部、事业拓展部、运营管理部、信息中心、教学科研部、医保部、后勤保障部、财务部、干部保健部、医务部、护理部、院感公卫部、质量控制部、门诊部；</w:t>
      </w:r>
    </w:p>
    <w:p>
      <w:pPr>
        <w:pStyle w:val="7"/>
        <w:keepNext w:val="0"/>
        <w:keepLines w:val="0"/>
        <w:pageBreakBefore w:val="0"/>
        <w:widowControl w:val="0"/>
        <w:kinsoku/>
        <w:wordWrap/>
        <w:overflowPunct/>
        <w:topLinePunct w:val="0"/>
        <w:autoSpaceDE/>
        <w:autoSpaceDN/>
        <w:bidi w:val="0"/>
        <w:adjustRightInd/>
        <w:snapToGrid/>
        <w:ind w:firstLine="420" w:firstLineChars="0"/>
        <w:jc w:val="both"/>
        <w:textAlignment w:val="auto"/>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四）医院分为4大医疗业务系统，包括大内科系统、大外科系统、医技系统及其他业务科室；其中，大内科系统包括心血管内科、内分泌代谢科、消化内科、呼吸内科、肿瘤放疗科、肿瘤血液内科、神经内科、老年病科、全科医学科、肾病/风湿免疫科、重症医学科、中医科、儿科、新生儿科、康复医学科、皮肤病/医疗美容科16个科室；大外科系统包括神经外科、骨科、泌尿外科、心胸外科、普外一科、普外二科、脑血管病/血管外科、妇产科、眼科、耳鼻咽喉头颈外科、麻醉手术中心11个科室；医技</w:t>
      </w:r>
      <w:bookmarkStart w:id="0" w:name="_GoBack"/>
      <w:bookmarkEnd w:id="0"/>
      <w:r>
        <w:rPr>
          <w:rFonts w:hint="eastAsia" w:cs="仿宋_GB2312" w:asciiTheme="minorEastAsia" w:hAnsiTheme="minorEastAsia" w:eastAsiaTheme="minorEastAsia"/>
          <w:sz w:val="32"/>
          <w:szCs w:val="32"/>
        </w:rPr>
        <w:t>医疗系统包括放射科、超声科、病理科、检验科/中心实验室、药学部、临床营养科、输血科、心脑功能科、消毒供应室9个科室；其他业务科室包括急诊科、口腔科、健康管理中心、发热门诊/肠道门诊、法医鉴定中心5个科室。</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三亚市人民医院2024年</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rPr>
        <w:t>三亚市人民医院2024年</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仿宋_GB2312"/>
          <w:sz w:val="32"/>
          <w:szCs w:val="32"/>
        </w:rPr>
        <w:t>三亚市人民医院2024年</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三亚市人民医院2024年财政拨款收支总预算</w:t>
      </w:r>
      <w:r>
        <w:rPr>
          <w:rFonts w:ascii="仿宋_GB2312" w:hAnsi="黑体" w:eastAsia="仿宋_GB2312" w:cs="仿宋_GB2312"/>
          <w:sz w:val="32"/>
          <w:szCs w:val="32"/>
        </w:rPr>
        <w:t>41,755.53</w:t>
      </w:r>
      <w:r>
        <w:rPr>
          <w:rFonts w:hint="eastAsia" w:ascii="仿宋_GB2312" w:hAnsi="黑体" w:eastAsia="仿宋_GB2312"/>
          <w:sz w:val="32"/>
          <w:szCs w:val="32"/>
        </w:rPr>
        <w:t>万元。其中，收入总计</w:t>
      </w:r>
      <w:r>
        <w:rPr>
          <w:rFonts w:ascii="仿宋_GB2312" w:hAnsi="黑体" w:eastAsia="仿宋_GB2312" w:cs="仿宋_GB2312"/>
          <w:sz w:val="32"/>
          <w:szCs w:val="32"/>
        </w:rPr>
        <w:t>41,755.53</w:t>
      </w:r>
      <w:r>
        <w:rPr>
          <w:rFonts w:hint="eastAsia" w:ascii="仿宋_GB2312" w:hAnsi="黑体" w:eastAsia="仿宋_GB2312"/>
          <w:sz w:val="32"/>
          <w:szCs w:val="32"/>
        </w:rPr>
        <w:t>万元，包括一般公共预算本年收入</w:t>
      </w:r>
      <w:r>
        <w:rPr>
          <w:rFonts w:ascii="仿宋_GB2312" w:hAnsi="黑体" w:eastAsia="仿宋_GB2312" w:cs="仿宋_GB2312"/>
          <w:sz w:val="32"/>
          <w:szCs w:val="32"/>
        </w:rPr>
        <w:t>35,842.56</w:t>
      </w:r>
      <w:r>
        <w:rPr>
          <w:rFonts w:hint="eastAsia" w:ascii="仿宋_GB2312" w:hAnsi="黑体" w:eastAsia="仿宋_GB2312"/>
          <w:sz w:val="32"/>
          <w:szCs w:val="32"/>
        </w:rPr>
        <w:t>万元、上年结转</w:t>
      </w:r>
      <w:r>
        <w:rPr>
          <w:rFonts w:ascii="仿宋_GB2312" w:hAnsi="黑体" w:eastAsia="仿宋_GB2312" w:cs="仿宋_GB2312"/>
          <w:sz w:val="32"/>
          <w:szCs w:val="32"/>
        </w:rPr>
        <w:t>5,912.97</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ascii="仿宋_GB2312" w:hAnsi="黑体" w:eastAsia="仿宋_GB2312" w:cs="仿宋_GB2312"/>
          <w:sz w:val="32"/>
          <w:szCs w:val="32"/>
        </w:rPr>
        <w:t>41755.53</w:t>
      </w:r>
      <w:r>
        <w:rPr>
          <w:rFonts w:hint="eastAsia" w:ascii="仿宋_GB2312" w:hAnsi="黑体" w:eastAsia="仿宋_GB2312"/>
          <w:sz w:val="32"/>
          <w:szCs w:val="32"/>
        </w:rPr>
        <w:t>万元，包括社会保障和就业支出</w:t>
      </w:r>
      <w:r>
        <w:rPr>
          <w:rFonts w:ascii="仿宋_GB2312" w:hAnsi="黑体" w:eastAsia="仿宋_GB2312" w:cs="仿宋_GB2312"/>
          <w:sz w:val="32"/>
          <w:szCs w:val="32"/>
        </w:rPr>
        <w:t>2,091.13</w:t>
      </w:r>
      <w:r>
        <w:rPr>
          <w:rFonts w:hint="eastAsia" w:ascii="仿宋_GB2312" w:hAnsi="黑体" w:eastAsia="仿宋_GB2312"/>
          <w:sz w:val="32"/>
          <w:szCs w:val="32"/>
        </w:rPr>
        <w:t>万元、卫生健康支出</w:t>
      </w:r>
      <w:r>
        <w:rPr>
          <w:rFonts w:ascii="仿宋_GB2312" w:hAnsi="黑体" w:eastAsia="仿宋_GB2312"/>
          <w:sz w:val="32"/>
          <w:szCs w:val="32"/>
        </w:rPr>
        <w:t>39,664.40</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三亚市人民医院2024年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三亚市人民医院2024年一般公共预算当年拨款</w:t>
      </w:r>
      <w:r>
        <w:rPr>
          <w:rFonts w:ascii="仿宋_GB2312" w:hAnsi="黑体" w:eastAsia="仿宋_GB2312" w:cs="仿宋_GB2312"/>
          <w:sz w:val="32"/>
          <w:szCs w:val="32"/>
        </w:rPr>
        <w:t>35</w:t>
      </w:r>
      <w:r>
        <w:rPr>
          <w:rFonts w:hint="eastAsia" w:ascii="仿宋_GB2312" w:hAnsi="黑体" w:eastAsia="仿宋_GB2312" w:cs="仿宋_GB2312"/>
          <w:sz w:val="32"/>
          <w:szCs w:val="32"/>
        </w:rPr>
        <w:t>,</w:t>
      </w:r>
      <w:r>
        <w:rPr>
          <w:rFonts w:ascii="仿宋_GB2312" w:hAnsi="黑体" w:eastAsia="仿宋_GB2312" w:cs="仿宋_GB2312"/>
          <w:sz w:val="32"/>
          <w:szCs w:val="32"/>
        </w:rPr>
        <w:t>842.56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增加7917.56</w:t>
      </w:r>
      <w:r>
        <w:rPr>
          <w:rFonts w:hint="eastAsia" w:ascii="仿宋_GB2312" w:hAnsi="黑体" w:eastAsia="仿宋_GB2312"/>
          <w:sz w:val="32"/>
          <w:szCs w:val="32"/>
        </w:rPr>
        <w:t>万元，主要是卫生健康支出预算有所增加。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640"/>
        <w:jc w:val="left"/>
        <w:rPr>
          <w:rFonts w:ascii="仿宋" w:hAnsi="仿宋" w:eastAsia="仿宋"/>
          <w:sz w:val="32"/>
          <w:szCs w:val="32"/>
        </w:rPr>
      </w:pPr>
      <w:r>
        <w:rPr>
          <w:rFonts w:hint="eastAsia" w:ascii="仿宋" w:hAnsi="仿宋" w:eastAsia="仿宋"/>
          <w:sz w:val="32"/>
          <w:szCs w:val="32"/>
        </w:rPr>
        <w:t>社会保障和就业支出（类）</w:t>
      </w:r>
      <w:r>
        <w:rPr>
          <w:rFonts w:ascii="仿宋" w:hAnsi="仿宋" w:eastAsia="仿宋"/>
          <w:sz w:val="32"/>
          <w:szCs w:val="32"/>
        </w:rPr>
        <w:t>2</w:t>
      </w:r>
      <w:r>
        <w:rPr>
          <w:rFonts w:hint="eastAsia" w:ascii="仿宋" w:hAnsi="仿宋" w:eastAsia="仿宋"/>
          <w:sz w:val="32"/>
          <w:szCs w:val="32"/>
        </w:rPr>
        <w:t>,</w:t>
      </w:r>
      <w:r>
        <w:rPr>
          <w:rFonts w:ascii="仿宋" w:hAnsi="仿宋" w:eastAsia="仿宋"/>
          <w:sz w:val="32"/>
          <w:szCs w:val="32"/>
        </w:rPr>
        <w:t>091.13</w:t>
      </w:r>
      <w:r>
        <w:rPr>
          <w:rFonts w:hint="eastAsia" w:ascii="仿宋" w:hAnsi="仿宋" w:eastAsia="仿宋"/>
          <w:sz w:val="32"/>
          <w:szCs w:val="32"/>
        </w:rPr>
        <w:t>万元，占5.01%；卫生健康支出（类）</w:t>
      </w:r>
      <w:r>
        <w:rPr>
          <w:rFonts w:ascii="仿宋" w:hAnsi="仿宋" w:eastAsia="仿宋"/>
          <w:sz w:val="32"/>
          <w:szCs w:val="32"/>
        </w:rPr>
        <w:t>39</w:t>
      </w:r>
      <w:r>
        <w:rPr>
          <w:rFonts w:hint="eastAsia" w:ascii="仿宋" w:hAnsi="仿宋" w:eastAsia="仿宋"/>
          <w:sz w:val="32"/>
          <w:szCs w:val="32"/>
        </w:rPr>
        <w:t>,</w:t>
      </w:r>
      <w:r>
        <w:rPr>
          <w:rFonts w:ascii="仿宋" w:hAnsi="仿宋" w:eastAsia="仿宋"/>
          <w:sz w:val="32"/>
          <w:szCs w:val="32"/>
        </w:rPr>
        <w:t>664.4</w:t>
      </w:r>
      <w:r>
        <w:rPr>
          <w:rFonts w:hint="eastAsia" w:ascii="仿宋" w:hAnsi="仿宋" w:eastAsia="仿宋"/>
          <w:sz w:val="32"/>
          <w:szCs w:val="32"/>
        </w:rPr>
        <w:t>万元，占94.99%。</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1.社会保障和就业支出（类）行政事业单位养老支出（款）机关事业单位基本养老保险缴费支出（项）2024年预算数为1,393.89万元，比去年预算数减少43.89万元，主要是单位本级在编人员的基本养老保险费用调整。</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2. 社会保障和就业支出（类）行政事业单位养老支出（款）机关事业单位职业年金缴费支出（项）2024年预算数为697.24万元,比去年预算数增加22.24万元，主要是单位本级在编人员的职业年金费用调整。</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3.卫生健康支出（类）公立医院（款）综合医院（项）2024年预算数为39,040.67万元，比去年预算数增加12981.03万元，主要是单位医疗保障及卫生健康发展费用。</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4.卫生健康支出（类）公立医院（款）其妇幼保健医院（项）2024年预算数为2万元，比去年预算数增加2万元，主要是妇幼保健医院支出增加。</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5.卫生健康支出（类）公共卫生（款）基本公共卫生服务（项）2024年预算数为22.46万元，比去年预算数增加21.15万元，主要是基本公共卫生服务支出增加。</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6.卫生健康支出（类）公共卫生（款）重大公共卫生服务（项）2024年预算数为523.87万元，比去年预算数增加462.41万元，主要是重大公共卫生服务费用增加。</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7.卫生健康支出（类）公共卫生（款）其他公共卫生支出（项）2024年预算数为75.40万元，比去年预算数减少0.77万元，主要是其他公共卫生支出费用减少。</w:t>
      </w:r>
    </w:p>
    <w:p>
      <w:pPr>
        <w:ind w:firstLine="640"/>
        <w:rPr>
          <w:rFonts w:ascii="黑体" w:hAnsi="黑体" w:eastAsia="黑体"/>
          <w:sz w:val="32"/>
          <w:szCs w:val="32"/>
        </w:rPr>
      </w:pPr>
      <w:r>
        <w:rPr>
          <w:rFonts w:hint="eastAsia" w:ascii="黑体" w:hAnsi="黑体" w:eastAsia="黑体"/>
          <w:sz w:val="32"/>
          <w:szCs w:val="32"/>
        </w:rPr>
        <w:t>三、关于三亚市人民医院2024年一般公共预算基本支出情况说明</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三亚市人民医院单位2024年无一般公共预算基本支出预算。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三亚市人民医院2024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（一）三亚市人民医院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320" w:firstLineChars="100"/>
        <w:rPr>
          <w:rFonts w:hint="eastAsia" w:ascii="仿宋_GB2312" w:hAnsi="黑体" w:eastAsia="仿宋_GB2312"/>
          <w:sz w:val="32"/>
          <w:szCs w:val="32"/>
          <w:lang w:eastAsia="zh-CN"/>
        </w:rPr>
      </w:pPr>
      <w:r>
        <w:rPr>
          <w:rFonts w:hint="eastAsia" w:ascii="仿宋_GB2312" w:hAnsi="黑体" w:eastAsia="仿宋_GB2312"/>
          <w:sz w:val="32"/>
          <w:szCs w:val="32"/>
        </w:rPr>
        <w:t>（二）三亚市人民医院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其中：</w:t>
      </w:r>
    </w:p>
    <w:p>
      <w:pPr>
        <w:rPr>
          <w:rFonts w:ascii="仿宋_GB2312" w:hAnsi="黑体" w:eastAsia="仿宋_GB2312"/>
          <w:sz w:val="32"/>
          <w:szCs w:val="32"/>
        </w:rPr>
      </w:pPr>
      <w:r>
        <w:rPr>
          <w:rFonts w:hint="eastAsia" w:ascii="Times New Roman" w:hAnsi="Times New Roman" w:eastAsia="仿宋_GB2312" w:cs="Times New Roman"/>
          <w:sz w:val="32"/>
          <w:shd w:val="clear" w:color="auto" w:fill="FFFFFF"/>
          <w:lang w:val="en-US" w:eastAsia="zh-CN"/>
        </w:rPr>
        <w:t xml:space="preserve">     </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三亚市人民医院2024年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jc w:val="left"/>
        <w:rPr>
          <w:rFonts w:hint="eastAsia" w:ascii="仿宋_GB2312" w:hAnsi="黑体" w:eastAsia="仿宋_GB2312"/>
          <w:sz w:val="32"/>
          <w:szCs w:val="32"/>
        </w:rPr>
      </w:pPr>
      <w:r>
        <w:rPr>
          <w:rFonts w:hint="eastAsia" w:ascii="仿宋_GB2312" w:hAnsi="黑体" w:eastAsia="仿宋_GB2312"/>
          <w:sz w:val="32"/>
          <w:szCs w:val="32"/>
        </w:rPr>
        <w:t>三亚市人民医院2024年无政府性基金预算，比上年预算数减少0.36万元。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三亚市人民医院2024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按照综合预算原则，三亚市人民医院2024年所有收入和支出均纳入部门预算管理。收入包括：一般公共预算收入、一般公共预算收入上年结转；支出包括：社会保障和就业支出、卫生健康支出。三亚市人民医院单位2024年收支总预算</w:t>
      </w:r>
      <w:r>
        <w:rPr>
          <w:rFonts w:hint="eastAsia" w:ascii="仿宋_GB2312" w:hAnsi="黑体" w:eastAsia="仿宋_GB2312" w:cs="仿宋_GB2312"/>
          <w:sz w:val="32"/>
          <w:szCs w:val="32"/>
          <w:lang w:val="en-US" w:eastAsia="zh-CN"/>
        </w:rPr>
        <w:t>106,370.87</w:t>
      </w:r>
      <w:r>
        <w:rPr>
          <w:rFonts w:hint="eastAsia" w:ascii="仿宋_GB2312" w:hAnsi="黑体" w:eastAsia="仿宋_GB2312" w:cs="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三亚市人民医院2024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三亚市人民医院2024年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106,370.87</w:t>
      </w:r>
      <w:r>
        <w:rPr>
          <w:rFonts w:hint="eastAsia" w:ascii="仿宋_GB2312" w:hAnsi="黑体" w:eastAsia="仿宋_GB2312"/>
          <w:sz w:val="32"/>
          <w:szCs w:val="32"/>
        </w:rPr>
        <w:t>万元，其中：一般公共预算收入</w:t>
      </w:r>
      <w:r>
        <w:rPr>
          <w:rFonts w:ascii="仿宋_GB2312" w:hAnsi="黑体" w:eastAsia="仿宋_GB2312"/>
          <w:sz w:val="32"/>
          <w:szCs w:val="32"/>
        </w:rPr>
        <w:t>35</w:t>
      </w:r>
      <w:r>
        <w:rPr>
          <w:rFonts w:hint="eastAsia" w:ascii="仿宋_GB2312" w:hAnsi="黑体" w:eastAsia="仿宋_GB2312"/>
          <w:sz w:val="32"/>
          <w:szCs w:val="32"/>
        </w:rPr>
        <w:t>,</w:t>
      </w:r>
      <w:r>
        <w:rPr>
          <w:rFonts w:ascii="仿宋_GB2312" w:hAnsi="黑体" w:eastAsia="仿宋_GB2312"/>
          <w:sz w:val="32"/>
          <w:szCs w:val="32"/>
        </w:rPr>
        <w:t>842.56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33.69</w:t>
      </w:r>
      <w:r>
        <w:rPr>
          <w:rFonts w:hint="eastAsia" w:ascii="仿宋_GB2312" w:hAnsi="黑体" w:eastAsia="仿宋_GB2312"/>
          <w:sz w:val="32"/>
          <w:szCs w:val="32"/>
        </w:rPr>
        <w:t>%；</w:t>
      </w:r>
      <w:r>
        <w:rPr>
          <w:rFonts w:hint="eastAsia" w:ascii="仿宋_GB2312" w:hAnsi="黑体" w:eastAsia="仿宋_GB2312"/>
          <w:sz w:val="32"/>
          <w:szCs w:val="32"/>
          <w:lang w:eastAsia="zh-CN"/>
        </w:rPr>
        <w:t>事业性收入</w:t>
      </w:r>
      <w:r>
        <w:rPr>
          <w:rFonts w:hint="eastAsia" w:ascii="仿宋_GB2312" w:hAnsi="黑体" w:eastAsia="仿宋_GB2312"/>
          <w:sz w:val="32"/>
          <w:szCs w:val="32"/>
          <w:lang w:val="en-US" w:eastAsia="zh-CN"/>
        </w:rPr>
        <w:t>64615.34万元，占60.75%；</w:t>
      </w:r>
      <w:r>
        <w:rPr>
          <w:rFonts w:hint="eastAsia" w:ascii="仿宋_GB2312" w:hAnsi="黑体" w:eastAsia="仿宋_GB2312"/>
          <w:sz w:val="32"/>
          <w:szCs w:val="32"/>
        </w:rPr>
        <w:t>上年结转预算收入</w:t>
      </w:r>
      <w:r>
        <w:rPr>
          <w:rFonts w:ascii="仿宋_GB2312" w:hAnsi="黑体" w:eastAsia="仿宋_GB2312"/>
          <w:sz w:val="32"/>
          <w:szCs w:val="32"/>
        </w:rPr>
        <w:t>5</w:t>
      </w:r>
      <w:r>
        <w:rPr>
          <w:rFonts w:hint="eastAsia" w:ascii="仿宋_GB2312" w:hAnsi="黑体" w:eastAsia="仿宋_GB2312"/>
          <w:sz w:val="32"/>
          <w:szCs w:val="32"/>
        </w:rPr>
        <w:t>,</w:t>
      </w:r>
      <w:r>
        <w:rPr>
          <w:rFonts w:ascii="仿宋_GB2312" w:hAnsi="黑体" w:eastAsia="仿宋_GB2312"/>
          <w:sz w:val="32"/>
          <w:szCs w:val="32"/>
        </w:rPr>
        <w:t>912.97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5.6</w:t>
      </w:r>
      <w:r>
        <w:rPr>
          <w:rFonts w:hint="eastAsia" w:ascii="仿宋_GB2312" w:hAnsi="黑体" w:eastAsia="仿宋_GB2312"/>
          <w:sz w:val="32"/>
          <w:szCs w:val="32"/>
        </w:rPr>
        <w:t>%。比上年预算数增加</w:t>
      </w:r>
      <w:r>
        <w:rPr>
          <w:rFonts w:hint="eastAsia" w:ascii="仿宋_GB2312" w:hAnsi="黑体" w:eastAsia="仿宋_GB2312"/>
          <w:sz w:val="32"/>
          <w:szCs w:val="32"/>
          <w:lang w:val="en-US" w:eastAsia="zh-CN"/>
        </w:rPr>
        <w:t>77182.82</w:t>
      </w:r>
      <w:r>
        <w:rPr>
          <w:rFonts w:hint="eastAsia" w:ascii="仿宋_GB2312" w:hAnsi="黑体" w:eastAsia="仿宋_GB2312"/>
          <w:sz w:val="32"/>
          <w:szCs w:val="32"/>
        </w:rPr>
        <w:t>万元，主要是三亚市人民医院</w:t>
      </w:r>
      <w:r>
        <w:rPr>
          <w:rFonts w:hint="eastAsia" w:ascii="仿宋_GB2312" w:hAnsi="黑体" w:eastAsia="仿宋_GB2312"/>
          <w:sz w:val="32"/>
          <w:szCs w:val="32"/>
          <w:lang w:eastAsia="zh-CN"/>
        </w:rPr>
        <w:t>增加事业性收入</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三亚市人民医院2024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三亚市人民医院2024年</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105323.23</w:t>
      </w:r>
      <w:r>
        <w:rPr>
          <w:rFonts w:hint="eastAsia" w:ascii="仿宋_GB2312" w:hAnsi="黑体" w:eastAsia="仿宋_GB2312"/>
          <w:sz w:val="32"/>
          <w:szCs w:val="32"/>
        </w:rPr>
        <w:t>元，其中：基本支出</w:t>
      </w:r>
      <w:r>
        <w:rPr>
          <w:rFonts w:hint="eastAsia" w:ascii="仿宋_GB2312" w:hAnsi="黑体" w:eastAsia="仿宋_GB2312" w:cs="仿宋_GB2312"/>
          <w:sz w:val="32"/>
          <w:szCs w:val="32"/>
          <w:lang w:val="en-US" w:eastAsia="zh-CN"/>
        </w:rPr>
        <w:t>63567.7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60.35</w:t>
      </w:r>
      <w:r>
        <w:rPr>
          <w:rFonts w:hint="eastAsia" w:ascii="仿宋_GB2312" w:hAnsi="黑体" w:eastAsia="仿宋_GB2312"/>
          <w:sz w:val="32"/>
          <w:szCs w:val="32"/>
        </w:rPr>
        <w:t>%；项目支出</w:t>
      </w:r>
      <w:r>
        <w:rPr>
          <w:rFonts w:ascii="仿宋_GB2312" w:hAnsi="黑体" w:eastAsia="仿宋_GB2312" w:cs="仿宋_GB2312"/>
          <w:sz w:val="32"/>
          <w:szCs w:val="32"/>
        </w:rPr>
        <w:t>41,755.53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39.65</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76135.18</w:t>
      </w:r>
      <w:r>
        <w:rPr>
          <w:rFonts w:hint="eastAsia" w:ascii="仿宋_GB2312" w:hAnsi="黑体" w:eastAsia="仿宋_GB2312"/>
          <w:sz w:val="32"/>
          <w:szCs w:val="32"/>
        </w:rPr>
        <w:t>万元，主要是卫生健康支出有所增加。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2024年三亚市人民医院本级无机关运行经费预算。</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2024年三亚市人民医院本级无政府采购预算。</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三亚市人民医院单位预算单位共有车辆6辆，其中，领导干部用车0辆，机要通信应急用车0辆、一般执法执勤用车0辆、特种专业技术用车0辆、其他用车6辆。单位价值100万元以上设备172台。</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2024年三亚市人民医院</w:t>
      </w:r>
      <w:r>
        <w:rPr>
          <w:rFonts w:hint="eastAsia" w:ascii="仿宋_GB2312" w:hAnsi="黑体" w:eastAsia="仿宋_GB2312" w:cs="仿宋_GB2312"/>
          <w:sz w:val="32"/>
          <w:szCs w:val="32"/>
          <w:lang w:val="en-US" w:eastAsia="zh-CN"/>
        </w:rPr>
        <w:t>14</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99410.26</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1.卫生健康发展专项资金</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18598</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安排亚龙湾急救站运营工作经费，华西长驻人员经费，省级肿瘤中心工作经费，征兵体检站建设经费， 助理全科全科转岗师资培训、学员补助等相关费用。</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rPr>
        <w:t>提高助理全科师资质量，助理全科基地建设，促进继教项目业务发展，临床重点专科建设，优秀退休专家、医生生活及工作、住房补助。</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sz w:val="32"/>
          <w:szCs w:val="32"/>
          <w:lang w:val="en-US" w:eastAsia="zh-CN"/>
        </w:rPr>
        <w:t>.</w:t>
      </w:r>
      <w:r>
        <w:rPr>
          <w:rFonts w:hint="eastAsia" w:ascii="仿宋_GB2312" w:hAnsi="黑体" w:eastAsia="仿宋_GB2312" w:cs="仿宋_GB2312"/>
          <w:sz w:val="32"/>
          <w:szCs w:val="32"/>
          <w:u w:val="none"/>
        </w:rPr>
        <w:t>紧密型医疗集团吉阳区成员单位经费</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9892.74</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根据《三亚市紧密型医疗集团财务统一管理实施意见（试行）》，安排成员单位经费</w:t>
      </w:r>
      <w:r>
        <w:rPr>
          <w:rFonts w:hint="eastAsia" w:ascii="仿宋_GB2312" w:hAnsi="黑体" w:eastAsia="仿宋_GB2312" w:cs="仿宋_GB2312"/>
          <w:sz w:val="32"/>
          <w:szCs w:val="32"/>
          <w:u w:val="none"/>
          <w:lang w:eastAsia="zh-CN"/>
        </w:rPr>
        <w:t>，绩效目标是保障紧密型医疗集团运行。</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sz w:val="32"/>
          <w:szCs w:val="32"/>
          <w:lang w:val="en-US" w:eastAsia="zh-CN"/>
        </w:rPr>
        <w:t>3.</w:t>
      </w:r>
      <w:r>
        <w:rPr>
          <w:rFonts w:hint="eastAsia" w:ascii="仿宋_GB2312" w:hAnsi="黑体" w:eastAsia="仿宋_GB2312" w:cs="仿宋_GB2312"/>
          <w:sz w:val="32"/>
          <w:szCs w:val="32"/>
          <w:u w:val="none"/>
        </w:rPr>
        <w:t>紧密型医疗集团海棠区成员单位经费</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3060.69</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根据《三亚市紧密型医疗集团财务统一管理实施意见（试行）》，安排成员单位经费</w:t>
      </w:r>
      <w:r>
        <w:rPr>
          <w:rFonts w:hint="eastAsia" w:ascii="仿宋_GB2312" w:hAnsi="黑体" w:eastAsia="仿宋_GB2312" w:cs="仿宋_GB2312"/>
          <w:sz w:val="32"/>
          <w:szCs w:val="32"/>
          <w:u w:val="none"/>
          <w:lang w:eastAsia="zh-CN"/>
        </w:rPr>
        <w:t>，绩效目标是保障紧密型医疗集团运行。</w:t>
      </w:r>
    </w:p>
    <w:p>
      <w:pPr>
        <w:ind w:firstLine="640" w:firstLineChars="200"/>
        <w:rPr>
          <w:rFonts w:hint="default" w:ascii="仿宋_GB2312" w:hAnsi="黑体" w:eastAsia="仿宋_GB2312" w:cs="仿宋_GB2312"/>
          <w:sz w:val="32"/>
          <w:szCs w:val="32"/>
          <w:u w:val="none"/>
          <w:lang w:val="en-US" w:eastAsia="zh-CN"/>
        </w:rPr>
      </w:pPr>
    </w:p>
    <w:p>
      <w:pPr>
        <w:ind w:firstLine="640" w:firstLineChars="200"/>
        <w:rPr>
          <w:rFonts w:hint="eastAsia" w:ascii="仿宋_GB2312" w:hAnsi="黑体" w:eastAsia="仿宋_GB2312"/>
          <w:sz w:val="32"/>
          <w:szCs w:val="32"/>
        </w:rPr>
      </w:pPr>
    </w:p>
    <w:p>
      <w:pPr>
        <w:ind w:firstLine="640" w:firstLineChars="200"/>
        <w:rPr>
          <w:rFonts w:hint="default" w:ascii="仿宋_GB2312" w:hAnsi="黑体" w:eastAsia="仿宋_GB2312"/>
          <w:sz w:val="32"/>
          <w:szCs w:val="32"/>
          <w:lang w:val="en-US" w:eastAsia="zh-CN"/>
        </w:rPr>
      </w:pPr>
    </w:p>
    <w:p>
      <w:pPr>
        <w:rPr>
          <w:rFonts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oto Sans CJK JP Medium">
    <w:altName w:val="宋体"/>
    <w:panose1 w:val="00000000000000000000"/>
    <w:charset w:val="86"/>
    <w:family w:val="swiss"/>
    <w:pitch w:val="default"/>
    <w:sig w:usb0="00000000" w:usb1="00000000" w:usb2="00000016" w:usb3="00000000" w:csb0="602E0107"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F0D"/>
    <w:rsid w:val="0006291E"/>
    <w:rsid w:val="0009529A"/>
    <w:rsid w:val="00150F0D"/>
    <w:rsid w:val="001E4919"/>
    <w:rsid w:val="00213D5A"/>
    <w:rsid w:val="002C1FC7"/>
    <w:rsid w:val="002E628D"/>
    <w:rsid w:val="0030242D"/>
    <w:rsid w:val="003C74CD"/>
    <w:rsid w:val="003D47B3"/>
    <w:rsid w:val="00450FBA"/>
    <w:rsid w:val="00544238"/>
    <w:rsid w:val="005B59B8"/>
    <w:rsid w:val="006478F1"/>
    <w:rsid w:val="007727C2"/>
    <w:rsid w:val="007B61A2"/>
    <w:rsid w:val="0091009B"/>
    <w:rsid w:val="009248DB"/>
    <w:rsid w:val="009672DE"/>
    <w:rsid w:val="009D5852"/>
    <w:rsid w:val="00A21E68"/>
    <w:rsid w:val="00A624EF"/>
    <w:rsid w:val="00B73580"/>
    <w:rsid w:val="00BA608F"/>
    <w:rsid w:val="00BC71B9"/>
    <w:rsid w:val="00BE7956"/>
    <w:rsid w:val="00D00B83"/>
    <w:rsid w:val="00D024C9"/>
    <w:rsid w:val="00D63DB9"/>
    <w:rsid w:val="00D9392E"/>
    <w:rsid w:val="00DA42CB"/>
    <w:rsid w:val="00E3307C"/>
    <w:rsid w:val="00EE3B31"/>
    <w:rsid w:val="153C6BA1"/>
    <w:rsid w:val="19D5DA33"/>
    <w:rsid w:val="1AED06B2"/>
    <w:rsid w:val="1FBF8E30"/>
    <w:rsid w:val="2BDF0DC0"/>
    <w:rsid w:val="2FF7110D"/>
    <w:rsid w:val="2FFFCED3"/>
    <w:rsid w:val="31A9548C"/>
    <w:rsid w:val="3F7FB4B5"/>
    <w:rsid w:val="3FAD4D11"/>
    <w:rsid w:val="420109D2"/>
    <w:rsid w:val="4824065F"/>
    <w:rsid w:val="4FB80849"/>
    <w:rsid w:val="5DB7E539"/>
    <w:rsid w:val="66DACB0B"/>
    <w:rsid w:val="697BF56A"/>
    <w:rsid w:val="6B6CE30F"/>
    <w:rsid w:val="6C7F1319"/>
    <w:rsid w:val="6DDF74AC"/>
    <w:rsid w:val="6FAF0D8D"/>
    <w:rsid w:val="6FCFCADC"/>
    <w:rsid w:val="6FFA4FE6"/>
    <w:rsid w:val="75FB0B04"/>
    <w:rsid w:val="79F7B683"/>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semiHidden/>
    <w:unhideWhenUsed/>
    <w:qFormat/>
    <w:uiPriority w:val="0"/>
    <w:pPr>
      <w:spacing w:before="200" w:after="160" w:line="360" w:lineRule="auto"/>
      <w:outlineLvl w:val="1"/>
    </w:pPr>
    <w:rPr>
      <w:rFonts w:ascii="宋体" w:hAnsi="宋体" w:cs="Noto Sans CJK JP Medium"/>
      <w:szCs w:val="30"/>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10</Pages>
  <Words>611</Words>
  <Characters>3488</Characters>
  <Lines>29</Lines>
  <Paragraphs>8</Paragraphs>
  <TotalTime>0</TotalTime>
  <ScaleCrop>false</ScaleCrop>
  <LinksUpToDate>false</LinksUpToDate>
  <CharactersWithSpaces>4091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卢秋月</cp:lastModifiedBy>
  <dcterms:modified xsi:type="dcterms:W3CDTF">2024-02-05T08:40:02Z</dcterms:modified>
  <dc:title>××年××部门（单位）预算</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