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val="en-US" w:eastAsia="zh-CN"/>
        </w:rPr>
      </w:pPr>
      <w:r>
        <w:rPr>
          <w:rFonts w:hint="eastAsia"/>
          <w:sz w:val="52"/>
          <w:szCs w:val="52"/>
          <w:lang w:val="en-US" w:eastAsia="zh-CN"/>
        </w:rPr>
        <w:t>2024</w:t>
      </w:r>
      <w:r>
        <w:rPr>
          <w:rFonts w:hint="eastAsia"/>
          <w:sz w:val="52"/>
          <w:szCs w:val="52"/>
        </w:rPr>
        <w:t>年</w:t>
      </w:r>
      <w:r>
        <w:rPr>
          <w:rFonts w:hint="eastAsia"/>
          <w:sz w:val="52"/>
          <w:szCs w:val="52"/>
          <w:lang w:eastAsia="zh-CN"/>
        </w:rPr>
        <w:t>三亚市</w:t>
      </w:r>
      <w:r>
        <w:rPr>
          <w:rFonts w:hint="eastAsia"/>
          <w:sz w:val="52"/>
          <w:szCs w:val="52"/>
          <w:lang w:val="en-US" w:eastAsia="zh-CN"/>
        </w:rPr>
        <w:t>育才医院</w:t>
      </w:r>
    </w:p>
    <w:p>
      <w:pPr>
        <w:jc w:val="center"/>
        <w:rPr>
          <w:sz w:val="52"/>
          <w:szCs w:val="52"/>
        </w:rPr>
      </w:pP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三亚市育才医院</w:t>
      </w:r>
      <w:r>
        <w:rPr>
          <w:rFonts w:hint="eastAsia" w:ascii="黑体" w:hAnsi="黑体" w:eastAsia="黑体"/>
          <w:sz w:val="32"/>
          <w:szCs w:val="32"/>
        </w:rPr>
        <w:t>概况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9"/>
        <w:numPr>
          <w:ilvl w:val="-1"/>
          <w:numId w:val="0"/>
        </w:numPr>
        <w:ind w:left="0" w:firstLine="0" w:firstLineChars="0"/>
        <w:rPr>
          <w:rFonts w:ascii="黑体" w:hAnsi="黑体" w:eastAsia="黑体"/>
          <w:sz w:val="32"/>
          <w:szCs w:val="32"/>
        </w:rPr>
      </w:pPr>
      <w:r>
        <w:rPr>
          <w:rFonts w:hint="eastAsia" w:ascii="黑体" w:hAnsi="黑体" w:eastAsia="黑体"/>
          <w:sz w:val="32"/>
          <w:szCs w:val="32"/>
          <w:lang w:eastAsia="zh-CN"/>
        </w:rPr>
        <w:t>二、单位机构设置</w:t>
      </w:r>
    </w:p>
    <w:p>
      <w:pPr>
        <w:pStyle w:val="9"/>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三亚市育才医院</w:t>
      </w:r>
      <w:r>
        <w:rPr>
          <w:rFonts w:hint="eastAsia" w:ascii="黑体" w:hAnsi="黑体" w:eastAsia="黑体"/>
          <w:sz w:val="32"/>
          <w:szCs w:val="32"/>
          <w:lang w:val="en-US" w:eastAsia="zh-CN"/>
        </w:rPr>
        <w:t>2024年</w:t>
      </w:r>
      <w:r>
        <w:rPr>
          <w:rFonts w:hint="eastAsia" w:ascii="黑体" w:hAnsi="黑体" w:eastAsia="黑体"/>
          <w:sz w:val="32"/>
          <w:szCs w:val="32"/>
        </w:rPr>
        <w:t>单位预算表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三亚市育才医院</w:t>
      </w:r>
      <w:r>
        <w:rPr>
          <w:rFonts w:hint="eastAsia" w:ascii="黑体" w:hAnsi="黑体" w:eastAsia="黑体" w:cs="黑体"/>
          <w:sz w:val="32"/>
          <w:szCs w:val="32"/>
          <w:lang w:val="en-US" w:eastAsia="zh-CN"/>
        </w:rPr>
        <w:t>2024年</w:t>
      </w:r>
      <w:r>
        <w:rPr>
          <w:rFonts w:hint="eastAsia" w:ascii="黑体" w:hAnsi="黑体" w:eastAsia="黑体"/>
          <w:sz w:val="32"/>
          <w:szCs w:val="32"/>
        </w:rPr>
        <w:t>单位预算情况说明</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9"/>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2"/>
      </w:pPr>
    </w:p>
    <w:p>
      <w:pPr>
        <w:jc w:val="left"/>
        <w:rPr>
          <w:rFonts w:ascii="黑体" w:hAnsi="黑体" w:eastAsia="黑体"/>
          <w:sz w:val="32"/>
          <w:szCs w:val="32"/>
        </w:rPr>
      </w:pPr>
    </w:p>
    <w:p>
      <w:pPr>
        <w:pStyle w:val="9"/>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三亚市育才医院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9"/>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9"/>
        <w:numPr>
          <w:ilvl w:val="-1"/>
          <w:numId w:val="0"/>
        </w:numPr>
        <w:ind w:left="0" w:firstLine="640" w:firstLineChars="200"/>
        <w:jc w:val="left"/>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育才医院</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以</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临床医疗及</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"http://www.so.com/s?q=%E5%85%AC%E5%85%B1%E5%8D%AB%E7%94%9F&amp;ie=utf-8&amp;src=internal_wenda_recommend_textn"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公共卫生</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服务为主，综合提供预防、</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"http://www.so.com/s?q=%E4%BF%9D%E5%81%A5&amp;ie=utf-8&amp;src=internal_wenda_recommend_textn"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保健</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和</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"http://www.so.com/s?q=%E5%9F%BA%E6%9C%AC%E5%8C%BB%E7%96%97&amp;ie=utf-8&amp;src=internal_wenda_recommend_textn"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基本医疗</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等服务</w:t>
      </w:r>
    </w:p>
    <w:p>
      <w:pPr>
        <w:pStyle w:val="9"/>
        <w:numPr>
          <w:ilvl w:val="-1"/>
          <w:numId w:val="0"/>
        </w:numPr>
        <w:ind w:left="0" w:firstLine="640" w:firstLineChars="200"/>
        <w:jc w:val="left"/>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加强</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"http://www.so.com/s?q=%E5%86%9C%E6%9D%91&amp;ie=utf-8&amp;src=internal_wenda_recommend_textn"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农村</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疾病预防控制，做好</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"http://www.so.com/s?q=%E4%BC%A0%E6%9F%93%E7%97%85&amp;ie=utf-8&amp;src=internal_wenda_recommend_textn"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传染病</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"http://www.so.com/s?q=%E5%9C%B0%E6%96%B9%E7%97%85&amp;ie=utf-8&amp;src=internal_wenda_recommend_textn"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地方病</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防治和疫情等农村</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"http://www.so.com/s?q=%E7%AA%81%E5%8F%91%E6%80%A7%E5%85%AC%E5%85%B1%E5%8D%AB%E7%94%9F%E4%BA%8B%E4%BB%B6&amp;ie=utf-8&amp;src=internal_wenda_recommend_textn"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突发性公共卫生事件</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报告工作，</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"http://www.so.com/s?q=%E9%87%8D%E7%82%B9&amp;ie=utf-8&amp;src=internal_wenda_recommend_textn"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重点</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控制严重危害</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"http://www.so.com/s?q=%E5%86%9C%E6%B0%91&amp;ie=utf-8&amp;src=internal_wenda_recommend_textn"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农民</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身体健康的传染病、地方病、</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"http://www.so.com/s?q=%E8%81%8C%E4%B8%9A%E7%97%85&amp;ie=utf-8&amp;src=internal_wenda_recommend_textn"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职业病</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和寄生虫病等</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"http://www.so.com/s?q=%E9%87%8D%E5%A4%A7%E7%96%BE%E7%97%85&amp;ie=utf-8&amp;src=internal_wenda_recommend_textn"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重大疾病</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p>
    <w:p>
      <w:pPr>
        <w:pStyle w:val="9"/>
        <w:numPr>
          <w:ilvl w:val="-1"/>
          <w:numId w:val="0"/>
        </w:numPr>
        <w:ind w:left="0" w:firstLine="640" w:firstLineChars="200"/>
        <w:jc w:val="left"/>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认真执行</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"http://www.so.com/s?q=%E5%84%BF%E7%AB%A5%E8%AE%A1%E5%88%92%E5%85%8D%E7%96%AB&amp;ie=utf-8&amp;src=internal_wenda_recommend_textn"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儿童计划免疫</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。积极开展</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"http://www.so.com/s?q=%E6%85%A2%E6%80%A7%E9%9D%9E%E4%BC%A0%E6%9F%93%E6%80%A7%E7%96%BE%E7%97%85&amp;ie=utf-8&amp;src=internal_wenda_recommend_textn"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慢性非传染性疾病</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的防治工作。</w:t>
      </w:r>
    </w:p>
    <w:p>
      <w:pPr>
        <w:pStyle w:val="9"/>
        <w:numPr>
          <w:ilvl w:val="-1"/>
          <w:numId w:val="0"/>
        </w:numPr>
        <w:ind w:left="0" w:leftChars="0" w:firstLine="640" w:firstLineChars="200"/>
        <w:jc w:val="left"/>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4、做好农村孕产妇和儿童保健工作，提高住院分娩率，改善儿童营养状况。</w:t>
      </w:r>
    </w:p>
    <w:p>
      <w:pPr>
        <w:pStyle w:val="9"/>
        <w:numPr>
          <w:ilvl w:val="-1"/>
          <w:numId w:val="0"/>
        </w:numPr>
        <w:ind w:left="0" w:leftChars="0" w:firstLine="640" w:firstLineChars="200"/>
        <w:jc w:val="left"/>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5、积极做好</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"http://www.so.com/s?q=%E6%96%B0%E5%9E%8B%E5%86%9C%E6%9D%91%E5%90%88%E4%BD%9C%E5%8C%BB%E7%96%97&amp;ie=utf-8&amp;src=internal_wenda_recommend_textn"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新型农村合作医疗</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的服务、</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"http://www.so.com/s?q=%E8%AE%A1%E5%88%92%E7%94%9F%E8%82%B2&amp;ie=utf-8&amp;src=internal_wenda_recommend_textn"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计划生育</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技术指导、康复等工作。</w:t>
      </w:r>
    </w:p>
    <w:p>
      <w:pPr>
        <w:pStyle w:val="9"/>
        <w:numPr>
          <w:ilvl w:val="0"/>
          <w:numId w:val="0"/>
        </w:numPr>
        <w:ind w:left="0" w:firstLine="640" w:firstLineChars="200"/>
        <w:jc w:val="left"/>
        <w:rPr>
          <w:rFonts w:hint="default" w:ascii="黑体" w:hAnsi="黑体" w:eastAsia="黑体" w:cs="仿宋_GB2312"/>
          <w:sz w:val="32"/>
          <w:szCs w:val="32"/>
          <w:lang w:val="en-US" w:eastAsia="zh-CN"/>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6、开展</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"http://www.so.com/s?q=%E7%88%B1%E5%9B%BD%E5%8D%AB%E7%94%9F%E8%BF%90%E5%8A%A8&amp;ie=utf-8&amp;src=internal_wenda_recommend_textn"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爱国卫生运动</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，普及疾病预防和</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"http://www.so.com/s?q=%E5%8D%AB%E7%94%9F%E4%BF%9D%E5%81%A5&amp;ie=utf-8&amp;src=internal_wenda_recommend_textn"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卫生保健</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知识，指导</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"http://www.so.com/s?q=%E7%BE%A4%E4%BC%97&amp;ie=utf-8&amp;src=internal_wenda_recommend_textn"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群众</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改善居住、饮食、</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"http://www.so.com/s?q=%E9%A5%AE%E6%B0%B4&amp;ie=utf-8&amp;src=internal_wenda_recommend_textn"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饮水</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和</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"http://www.so.com/s?q=%E7%8E%AF%E5%A2%83%E5%8D%AB%E7%94%9F&amp;ie=utf-8&amp;src=internal_wenda_recommend_textn"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环境卫生</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instrText xml:space="preserve"> HYPERLINK "http://www.so.com/s?q=%E6%9D%A1%E4%BB%B6&amp;ie=utf-8&amp;src=internal_wenda_recommend_textn" \t "https://wenda.so.com/q/_blank" </w:instrTex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条件</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，引导和帮助农民建立良</w:t>
      </w:r>
      <w:r>
        <w:rPr>
          <w:rFonts w:hint="eastAsia" w:ascii="仿宋" w:hAnsi="仿宋" w:eastAsia="仿宋" w:cs="仿宋"/>
          <w:i w:val="0"/>
          <w:caps w:val="0"/>
          <w:color w:val="333333"/>
          <w:spacing w:val="0"/>
          <w:sz w:val="32"/>
          <w:szCs w:val="32"/>
          <w:shd w:val="clear" w:fill="FFFFFF"/>
        </w:rPr>
        <w:t>好的卫生习惯。</w:t>
      </w:r>
    </w:p>
    <w:p>
      <w:pPr>
        <w:ind w:firstLine="0" w:firstLineChars="0"/>
        <w:jc w:val="left"/>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二、单位机构设置</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val="en-US" w:eastAsia="zh-CN"/>
        </w:rPr>
        <w:t>三亚市育才医院2024</w:t>
      </w:r>
      <w:r>
        <w:rPr>
          <w:rFonts w:hint="eastAsia" w:ascii="仿宋_GB2312" w:hAnsi="黑体" w:eastAsia="仿宋_GB2312" w:cs="仿宋_GB2312"/>
          <w:sz w:val="32"/>
          <w:szCs w:val="32"/>
        </w:rPr>
        <w:t>年部门预算编制范围的二级预算单位包括：</w:t>
      </w:r>
    </w:p>
    <w:p>
      <w:pPr>
        <w:spacing w:line="360" w:lineRule="auto"/>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三亚市育才医院为一级医院，现有编制床位50张，实际开放床位50张。医院共设10个科室，业务科室6个，包括：妇产科、儿科、计划生育服务科、口腔科、医学检验科、医学影像科：X线诊断专业、内科、外科、中医科、预防保健科。</w:t>
      </w:r>
    </w:p>
    <w:p>
      <w:pPr>
        <w:spacing w:line="360" w:lineRule="auto"/>
        <w:ind w:left="0" w:firstLine="640" w:firstLineChars="200"/>
        <w:jc w:val="left"/>
        <w:rPr>
          <w:rFonts w:ascii="仿宋_GB2312" w:hAnsi="黑体" w:eastAsia="仿宋_GB2312" w:cs="仿宋_GB2312"/>
          <w:sz w:val="32"/>
          <w:szCs w:val="32"/>
        </w:rPr>
      </w:pPr>
      <w:r>
        <w:rPr>
          <w:rFonts w:hint="eastAsia" w:ascii="仿宋" w:hAnsi="仿宋" w:eastAsia="仿宋" w:cs="仿宋"/>
          <w:sz w:val="32"/>
          <w:szCs w:val="40"/>
          <w:lang w:val="en-US" w:eastAsia="zh-CN"/>
        </w:rPr>
        <w:t>2、</w:t>
      </w:r>
      <w:r>
        <w:rPr>
          <w:rFonts w:hint="eastAsia" w:ascii="仿宋" w:hAnsi="仿宋" w:eastAsia="仿宋" w:cs="仿宋"/>
          <w:sz w:val="32"/>
          <w:szCs w:val="40"/>
        </w:rPr>
        <w:t>医院设立了医保科，分管院长主持日常工作，医保科负责处理日常事务，各有关处室协助的医院医保管理、考核、培训、宣传体系。</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三亚市育才医院</w:t>
      </w:r>
      <w:r>
        <w:rPr>
          <w:rFonts w:hint="eastAsia" w:ascii="黑体" w:hAnsi="黑体" w:eastAsia="黑体" w:cs="黑体"/>
          <w:sz w:val="32"/>
          <w:szCs w:val="32"/>
          <w:lang w:val="en-US" w:eastAsia="zh-CN"/>
        </w:rPr>
        <w:t>2024年单位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三亚市育才医院</w:t>
      </w:r>
      <w:r>
        <w:rPr>
          <w:rFonts w:hint="eastAsia" w:ascii="黑体" w:hAnsi="黑体" w:eastAsia="黑体" w:cs="黑体"/>
          <w:sz w:val="32"/>
          <w:szCs w:val="32"/>
          <w:lang w:val="en-US" w:eastAsia="zh-CN"/>
        </w:rPr>
        <w:t>2024年</w:t>
      </w:r>
      <w:r>
        <w:rPr>
          <w:rFonts w:hint="eastAsia" w:ascii="黑体" w:hAnsi="黑体" w:eastAsia="黑体"/>
          <w:sz w:val="32"/>
          <w:szCs w:val="32"/>
        </w:rPr>
        <w:t>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三亚市育才医院</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三亚市育才医院</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1188.05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1188.05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1157.62</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1188.05</w:t>
      </w:r>
      <w:r>
        <w:rPr>
          <w:rFonts w:hint="eastAsia" w:ascii="仿宋_GB2312" w:hAnsi="黑体" w:eastAsia="仿宋_GB2312"/>
          <w:sz w:val="32"/>
          <w:szCs w:val="32"/>
        </w:rPr>
        <w:t>万元，包括</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171.88万元、卫生健康支出932.44万元、住房保障支出83.74万元</w:t>
      </w:r>
      <w:r>
        <w:rPr>
          <w:rFonts w:hint="eastAsia" w:ascii="仿宋_GB2312" w:hAnsi="黑体" w:eastAsia="仿宋_GB2312"/>
          <w:sz w:val="32"/>
          <w:szCs w:val="32"/>
          <w:lang w:eastAsia="zh-CN"/>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三亚市育才医院</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三亚市育才医院</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1188.05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146.24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增加了卫生健康支出和及住房保障支出的预算。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171.88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14.47</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932.44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78.48</w:t>
      </w:r>
      <w:r>
        <w:rPr>
          <w:rFonts w:hint="eastAsia" w:ascii="仿宋_GB2312" w:hAnsi="黑体" w:eastAsia="仿宋_GB2312"/>
          <w:sz w:val="32"/>
          <w:szCs w:val="32"/>
        </w:rPr>
        <w:t>%；</w:t>
      </w:r>
      <w:r>
        <w:rPr>
          <w:rFonts w:hint="eastAsia" w:ascii="仿宋_GB2312" w:hAnsi="黑体" w:eastAsia="仿宋_GB2312"/>
          <w:sz w:val="32"/>
          <w:szCs w:val="32"/>
          <w:lang w:eastAsia="zh-CN"/>
        </w:rPr>
        <w:t>住房保障</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83.74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7.05</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社会保障和就业（类）</w:t>
      </w:r>
      <w:r>
        <w:rPr>
          <w:rFonts w:hint="eastAsia" w:ascii="仿宋_GB2312" w:hAnsi="黑体" w:eastAsia="仿宋_GB2312" w:cs="仿宋_GB2312"/>
          <w:sz w:val="32"/>
          <w:szCs w:val="32"/>
        </w:rPr>
        <w:t>行政</w:t>
      </w:r>
      <w:r>
        <w:rPr>
          <w:rFonts w:hint="eastAsia" w:ascii="仿宋_GB2312" w:hAnsi="黑体" w:eastAsia="仿宋_GB2312" w:cs="仿宋_GB2312"/>
          <w:sz w:val="32"/>
          <w:szCs w:val="32"/>
          <w:lang w:eastAsia="zh-CN"/>
        </w:rPr>
        <w:t>事业单位养老支出（款）机关事业单位基本养老保险缴费支出（项）</w:t>
      </w: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99.05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22.65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人员的增资。</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社会保障和就业（类）</w:t>
      </w:r>
      <w:r>
        <w:rPr>
          <w:rFonts w:hint="eastAsia" w:ascii="仿宋_GB2312" w:hAnsi="黑体" w:eastAsia="仿宋_GB2312" w:cs="仿宋_GB2312"/>
          <w:sz w:val="32"/>
          <w:szCs w:val="32"/>
        </w:rPr>
        <w:t>行政</w:t>
      </w:r>
      <w:r>
        <w:rPr>
          <w:rFonts w:hint="eastAsia" w:ascii="仿宋_GB2312" w:hAnsi="黑体" w:eastAsia="仿宋_GB2312" w:cs="仿宋_GB2312"/>
          <w:sz w:val="32"/>
          <w:szCs w:val="32"/>
          <w:lang w:eastAsia="zh-CN"/>
        </w:rPr>
        <w:t>事业单位养老支出（款）机关事业单位职业年金缴费支出（项）</w:t>
      </w:r>
      <w:r>
        <w:rPr>
          <w:rFonts w:hint="eastAsia" w:ascii="仿宋_GB2312" w:hAnsi="黑体" w:eastAsia="仿宋_GB2312" w:cs="仿宋_GB2312"/>
          <w:sz w:val="32"/>
          <w:szCs w:val="32"/>
          <w:lang w:val="en-US" w:eastAsia="zh-CN"/>
        </w:rPr>
        <w:t>2024年预算数为68.73万元，比上年预算数减少58.91万元，主要是减少了2021、2022年机关事业单位职业年金缴费支出预算。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社会保障和就业(类)抚恤(款)其他抚恤支出(项)</w:t>
      </w:r>
    </w:p>
    <w:p>
      <w:pPr>
        <w:ind w:firstLine="115" w:firstLineChars="36"/>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2024年预算数为</w:t>
      </w:r>
      <w:r>
        <w:rPr>
          <w:rFonts w:hint="eastAsia" w:ascii="仿宋_GB2312" w:hAnsi="黑体" w:eastAsia="仿宋_GB2312" w:cs="仿宋_GB2312"/>
          <w:sz w:val="32"/>
          <w:szCs w:val="32"/>
          <w:lang w:val="en-US" w:eastAsia="zh-CN"/>
        </w:rPr>
        <w:t>4.10万元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0.69</w:t>
      </w:r>
      <w:r>
        <w:rPr>
          <w:rFonts w:hint="eastAsia" w:ascii="仿宋_GB2312" w:hAnsi="黑体" w:eastAsia="仿宋_GB2312" w:cs="仿宋_GB2312"/>
          <w:sz w:val="32"/>
          <w:szCs w:val="32"/>
        </w:rPr>
        <w:t>万元，主要是抚恤</w:t>
      </w:r>
      <w:r>
        <w:rPr>
          <w:rFonts w:hint="eastAsia" w:ascii="仿宋_GB2312" w:hAnsi="黑体" w:eastAsia="仿宋_GB2312" w:cs="仿宋_GB2312"/>
          <w:sz w:val="32"/>
          <w:szCs w:val="32"/>
          <w:lang w:eastAsia="zh-CN"/>
        </w:rPr>
        <w:t>人员的经费增加。</w:t>
      </w:r>
    </w:p>
    <w:p>
      <w:pPr>
        <w:ind w:firstLine="115" w:firstLineChars="36"/>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    4.</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公立医院（款）综合医院（项）</w:t>
      </w:r>
      <w:r>
        <w:rPr>
          <w:rFonts w:hint="eastAsia" w:ascii="仿宋_GB2312" w:hAnsi="黑体" w:eastAsia="仿宋_GB2312" w:cs="仿宋_GB2312"/>
          <w:sz w:val="32"/>
          <w:szCs w:val="32"/>
          <w:lang w:val="en-US" w:eastAsia="zh-CN"/>
        </w:rPr>
        <w:t>2024年预算数为19.93万元，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19.93</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2023年未做综合医院的项目预算</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5</w:t>
      </w:r>
      <w:r>
        <w:rPr>
          <w:rFonts w:hint="eastAsia" w:ascii="仿宋_GB2312" w:hAnsi="黑体" w:eastAsia="仿宋_GB2312" w:cs="仿宋_GB2312"/>
          <w:sz w:val="32"/>
          <w:szCs w:val="32"/>
        </w:rPr>
        <w:t>.卫生健康支出(类)基层医疗卫生机构(款)乡镇</w:t>
      </w:r>
      <w:r>
        <w:rPr>
          <w:rFonts w:hint="eastAsia" w:ascii="仿宋_GB2312" w:hAnsi="黑体" w:eastAsia="仿宋_GB2312" w:cs="仿宋_GB2312"/>
          <w:sz w:val="32"/>
          <w:szCs w:val="32"/>
          <w:lang w:eastAsia="zh-CN"/>
        </w:rPr>
        <w:t>卫生院</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 xml:space="preserve"> 年预算数为</w:t>
      </w:r>
      <w:r>
        <w:rPr>
          <w:rFonts w:hint="eastAsia" w:ascii="仿宋_GB2312" w:hAnsi="黑体" w:eastAsia="仿宋_GB2312" w:cs="仿宋_GB2312"/>
          <w:sz w:val="32"/>
          <w:szCs w:val="32"/>
          <w:lang w:val="en-US" w:eastAsia="zh-CN"/>
        </w:rPr>
        <w:t>787.07</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121.35万元，主要是增加基层医疗卫生服务的预算及人员的增加。</w:t>
      </w:r>
    </w:p>
    <w:p>
      <w:pPr>
        <w:ind w:firstLine="755" w:firstLineChars="236"/>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6.卫生健康支出(类)公共卫生（款）重大公共卫生服务（项）2024年预算数为10.50万元，</w:t>
      </w:r>
      <w:r>
        <w:rPr>
          <w:rFonts w:hint="eastAsia" w:ascii="仿宋_GB2312" w:hAnsi="黑体" w:eastAsia="仿宋_GB2312" w:cs="仿宋_GB2312"/>
          <w:sz w:val="32"/>
          <w:szCs w:val="32"/>
        </w:rPr>
        <w:t>比上年预算数增加</w:t>
      </w:r>
      <w:r>
        <w:rPr>
          <w:rFonts w:hint="eastAsia" w:ascii="仿宋_GB2312" w:hAnsi="黑体" w:eastAsia="仿宋_GB2312" w:cs="仿宋_GB2312"/>
          <w:sz w:val="32"/>
          <w:szCs w:val="32"/>
          <w:lang w:val="en-US" w:eastAsia="zh-CN"/>
        </w:rPr>
        <w:t>10.50万元，</w:t>
      </w:r>
      <w:r>
        <w:rPr>
          <w:rFonts w:hint="eastAsia" w:ascii="仿宋_GB2312" w:hAnsi="黑体" w:eastAsia="仿宋_GB2312" w:cs="仿宋_GB2312"/>
          <w:sz w:val="32"/>
          <w:szCs w:val="32"/>
        </w:rPr>
        <w:t>主要是</w:t>
      </w:r>
      <w:r>
        <w:rPr>
          <w:rFonts w:hint="eastAsia" w:ascii="仿宋_GB2312" w:hAnsi="黑体" w:eastAsia="仿宋_GB2312" w:cs="仿宋_GB2312"/>
          <w:sz w:val="32"/>
          <w:szCs w:val="32"/>
          <w:lang w:val="en-US" w:eastAsia="zh-CN"/>
        </w:rPr>
        <w:t>2023年未做重大公共卫生服务的项目预算</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7.卫生健康支出(类)行政事业单位医疗(款)事业单位医疗(项)2024年预算数为37.75万元，比上年预算数增加3.77万元，主要是人员的增加。</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8.卫生健康支出(类)行政事业单位医疗(款)公务员医疗补助(项)2024年预算数为77.18万元，比上年预算数增加12.41万元，主要是人员的增加与增资。</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9.住房保障支出(类)住房改革支出(款)住房公积金(项)2024 年预算数为83.74万元,比上年预算数增加15.23万元，主要是人员的增加与增资。</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三亚市育才医院</w:t>
      </w:r>
      <w:r>
        <w:rPr>
          <w:rFonts w:hint="eastAsia" w:ascii="黑体" w:hAnsi="黑体" w:eastAsia="黑体"/>
          <w:sz w:val="32"/>
          <w:szCs w:val="32"/>
          <w:lang w:val="en-US" w:eastAsia="zh-CN"/>
        </w:rPr>
        <w:t>20</w:t>
      </w:r>
      <w:r>
        <w:rPr>
          <w:rFonts w:hint="eastAsia" w:ascii="仿宋_GB2312" w:hAnsi="黑体" w:eastAsia="仿宋_GB2312"/>
          <w:sz w:val="32"/>
          <w:szCs w:val="32"/>
          <w:lang w:val="en-US" w:eastAsia="zh-CN"/>
        </w:rPr>
        <w:t>24</w:t>
      </w:r>
      <w:r>
        <w:rPr>
          <w:rFonts w:hint="eastAsia" w:ascii="黑体" w:hAnsi="黑体" w:eastAsia="黑体"/>
          <w:sz w:val="32"/>
          <w:szCs w:val="32"/>
        </w:rPr>
        <w:t>年一般公共预算基本支出情况说明</w:t>
      </w:r>
      <w:bookmarkStart w:id="0" w:name="_GoBack"/>
      <w:bookmarkEnd w:id="0"/>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三亚市育才医院</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1157.62</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1099.37</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奖金、绩效工资</w:t>
      </w:r>
      <w:r>
        <w:rPr>
          <w:rFonts w:hint="eastAsia" w:ascii="仿宋_GB2312" w:hAnsi="黑体" w:eastAsia="仿宋_GB2312"/>
          <w:sz w:val="32"/>
          <w:szCs w:val="32"/>
        </w:rPr>
        <w:t>、</w:t>
      </w:r>
      <w:r>
        <w:rPr>
          <w:rFonts w:hint="eastAsia" w:ascii="仿宋_GB2312" w:hAnsi="黑体" w:eastAsia="仿宋_GB2312"/>
          <w:sz w:val="32"/>
          <w:szCs w:val="32"/>
          <w:lang w:eastAsia="zh-CN"/>
        </w:rPr>
        <w:t>机关事业单位基本养老保险缴费、职业年金缴费、职工基本医疗保险缴费、公务员医疗补助缴费、其他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住房公积金、医疗费、其他工资福利支出、邮电费、生活补助</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58.25</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w:t>
      </w:r>
      <w:r>
        <w:rPr>
          <w:rFonts w:hint="eastAsia" w:ascii="仿宋_GB2312" w:hAnsi="黑体" w:eastAsia="仿宋_GB2312"/>
          <w:sz w:val="32"/>
          <w:szCs w:val="32"/>
        </w:rPr>
        <w:t>办公费、</w:t>
      </w:r>
      <w:r>
        <w:rPr>
          <w:rFonts w:hint="eastAsia" w:ascii="仿宋_GB2312" w:hAnsi="黑体" w:eastAsia="仿宋_GB2312"/>
          <w:sz w:val="32"/>
          <w:szCs w:val="32"/>
          <w:lang w:eastAsia="zh-CN"/>
        </w:rPr>
        <w:t>会议费、工会经费、福利费、其他商品和服务支出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三亚市育才医院</w:t>
      </w:r>
      <w:r>
        <w:rPr>
          <w:rFonts w:hint="eastAsia" w:ascii="黑体" w:hAnsi="黑体" w:eastAsia="黑体"/>
          <w:sz w:val="32"/>
          <w:szCs w:val="32"/>
          <w:lang w:val="en-US" w:eastAsia="zh-CN"/>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三亚市育才医院</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三亚市育才医院</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其中：</w:t>
      </w:r>
    </w:p>
    <w:p>
      <w:pPr>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lang w:val="en-US" w:eastAsia="zh-CN"/>
        </w:rPr>
        <w:t xml:space="preserve">     </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三亚市育才医院</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三亚市育才医院</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三亚市育才医院</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三亚市育才医院</w:t>
      </w:r>
      <w:r>
        <w:rPr>
          <w:rFonts w:hint="eastAsia" w:ascii="仿宋_GB2312" w:hAnsi="黑体" w:eastAsia="仿宋_GB2312" w:cs="仿宋_GB2312"/>
          <w:sz w:val="32"/>
          <w:szCs w:val="32"/>
        </w:rPr>
        <w:t>所有收入和支出均纳入部门预算管理。收入包括：一般公共预算收入、事业收入</w:t>
      </w:r>
      <w:r>
        <w:rPr>
          <w:rFonts w:hint="eastAsia" w:ascii="仿宋_GB2312" w:hAnsi="黑体" w:eastAsia="仿宋_GB2312"/>
          <w:sz w:val="32"/>
          <w:szCs w:val="32"/>
        </w:rPr>
        <w:t>；支出包括：</w:t>
      </w:r>
      <w:r>
        <w:rPr>
          <w:rFonts w:hint="eastAsia" w:ascii="仿宋_GB2312" w:hAnsi="黑体" w:eastAsia="仿宋_GB2312"/>
          <w:sz w:val="32"/>
          <w:szCs w:val="32"/>
          <w:lang w:eastAsia="zh-CN"/>
        </w:rPr>
        <w:t>社会保障和就业支出、卫生健康支出、住房保障支出。三亚市育才医院</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1188.05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三亚市育才医院</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三亚市育才医院</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1188.05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30.43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2.56</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1157.62万元，占97.44%</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val="en-US" w:eastAsia="zh-CN"/>
        </w:rPr>
        <w:t>比上年预算数增加146.24万元，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增加了基层医疗卫生服务的预算及上年结转数</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三亚市育才医院</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三亚市育才医院</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1188.05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1157.62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97.44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30.43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2.56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146.24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增加了基层医疗卫生服务的预算及上年结转数</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三亚市育才医院</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2024年三亚市育才医院</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三亚市育才医院</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2024年三亚市育才医院10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1188.05</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to Sans CJK JP Medium">
    <w:altName w:val="宋体"/>
    <w:panose1 w:val="00000000000000000000"/>
    <w:charset w:val="86"/>
    <w:family w:val="swiss"/>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YmFkNjQ0ODFmODkwZDIxY2I4N2QyMGYzZmEzMTMifQ=="/>
  </w:docVars>
  <w:rsids>
    <w:rsidRoot w:val="00000000"/>
    <w:rsid w:val="11252AE7"/>
    <w:rsid w:val="153C6BA1"/>
    <w:rsid w:val="19D5DA33"/>
    <w:rsid w:val="1F4C32C6"/>
    <w:rsid w:val="1FBF8E30"/>
    <w:rsid w:val="2BDF0DC0"/>
    <w:rsid w:val="2FF7110D"/>
    <w:rsid w:val="2FFFCED3"/>
    <w:rsid w:val="30250D44"/>
    <w:rsid w:val="37FC35AE"/>
    <w:rsid w:val="3CE32DE9"/>
    <w:rsid w:val="3F7FB4B5"/>
    <w:rsid w:val="3FAD4D11"/>
    <w:rsid w:val="420109D2"/>
    <w:rsid w:val="4824065F"/>
    <w:rsid w:val="4BF16C22"/>
    <w:rsid w:val="4DFF5324"/>
    <w:rsid w:val="4F54166E"/>
    <w:rsid w:val="4FB80849"/>
    <w:rsid w:val="5C3F2FD8"/>
    <w:rsid w:val="5DB7E539"/>
    <w:rsid w:val="60B20FD2"/>
    <w:rsid w:val="66DACB0B"/>
    <w:rsid w:val="697BF56A"/>
    <w:rsid w:val="6B6CE30F"/>
    <w:rsid w:val="6C7F1319"/>
    <w:rsid w:val="6DDF74AC"/>
    <w:rsid w:val="6FAF0D8D"/>
    <w:rsid w:val="6FCFCADC"/>
    <w:rsid w:val="6FFA4FE6"/>
    <w:rsid w:val="74EA7E4B"/>
    <w:rsid w:val="75FB0B04"/>
    <w:rsid w:val="76DA01CC"/>
    <w:rsid w:val="78B40786"/>
    <w:rsid w:val="78F97787"/>
    <w:rsid w:val="79F7B683"/>
    <w:rsid w:val="7D73BCCE"/>
    <w:rsid w:val="7D784EB7"/>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semiHidden/>
    <w:unhideWhenUsed/>
    <w:qFormat/>
    <w:uiPriority w:val="0"/>
    <w:pPr>
      <w:spacing w:before="200" w:after="160" w:line="360" w:lineRule="auto"/>
      <w:outlineLvl w:val="1"/>
    </w:pPr>
    <w:rPr>
      <w:rFonts w:ascii="宋体" w:hAnsi="宋体" w:cs="Noto Sans CJK JP Medium"/>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paragraph" w:customStyle="1" w:styleId="9">
    <w:name w:val="List Paragraph"/>
    <w:basedOn w:val="1"/>
    <w:qFormat/>
    <w:uiPriority w:val="34"/>
    <w:pPr>
      <w:ind w:firstLine="420" w:firstLineChars="200"/>
    </w:pPr>
  </w:style>
  <w:style w:type="paragraph" w:customStyle="1" w:styleId="10">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卢秋月</cp:lastModifiedBy>
  <dcterms:modified xsi:type="dcterms:W3CDTF">2024-02-04T02:37:12Z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53F506A3E1A945808610918F6857F7C3_12</vt:lpwstr>
  </property>
</Properties>
</file>