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黑体" w:hAnsi="ˎ̥" w:eastAsia="黑体"/>
          <w:color w:val="000000"/>
          <w:sz w:val="32"/>
          <w:szCs w:val="32"/>
          <w:highlight w:val="none"/>
          <w:lang w:val="en-US" w:eastAsia="zh-CN"/>
        </w:rPr>
      </w:pPr>
      <w:r>
        <w:rPr>
          <w:rFonts w:hint="eastAsia" w:ascii="黑体" w:hAnsi="ˎ̥" w:eastAsia="黑体"/>
          <w:color w:val="000000"/>
          <w:sz w:val="32"/>
          <w:szCs w:val="32"/>
          <w:highlight w:val="none"/>
          <w:lang w:eastAsia="zh-CN"/>
        </w:rPr>
        <w:t>附件</w:t>
      </w:r>
      <w:r>
        <w:rPr>
          <w:rFonts w:hint="eastAsia" w:ascii="黑体" w:hAnsi="ˎ̥" w:eastAsia="黑体"/>
          <w:color w:val="000000"/>
          <w:sz w:val="32"/>
          <w:szCs w:val="32"/>
          <w:highlight w:val="none"/>
          <w:lang w:val="en-US" w:eastAsia="zh-CN"/>
        </w:rPr>
        <w:t>2</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44"/>
          <w:szCs w:val="44"/>
          <w:highlight w:val="none"/>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44"/>
          <w:szCs w:val="44"/>
          <w:highlight w:val="none"/>
        </w:rPr>
      </w:pPr>
      <w:r>
        <w:rPr>
          <w:rFonts w:hint="eastAsia" w:ascii="黑体" w:hAnsi="ˎ̥" w:eastAsia="黑体"/>
          <w:color w:val="000000"/>
          <w:sz w:val="44"/>
          <w:szCs w:val="44"/>
          <w:highlight w:val="none"/>
          <w:lang w:eastAsia="zh-CN"/>
        </w:rPr>
        <w:t>三亚中心医院</w:t>
      </w:r>
      <w:r>
        <w:rPr>
          <w:rFonts w:hint="eastAsia" w:ascii="黑体" w:hAnsi="ˎ̥" w:eastAsia="黑体"/>
          <w:color w:val="000000"/>
          <w:sz w:val="44"/>
          <w:szCs w:val="44"/>
          <w:highlight w:val="none"/>
        </w:rPr>
        <w:t>2022年度部门决算公开</w:t>
      </w:r>
      <w:r>
        <w:rPr>
          <w:rFonts w:ascii="黑体" w:hAnsi="ˎ̥" w:eastAsia="黑体"/>
          <w:color w:val="000000"/>
          <w:sz w:val="44"/>
          <w:szCs w:val="44"/>
          <w:highlight w:val="none"/>
        </w:rPr>
        <w:t>报告</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b/>
          <w:color w:val="000000"/>
          <w:sz w:val="32"/>
          <w:szCs w:val="32"/>
          <w:highlight w:val="none"/>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000000"/>
          <w:sz w:val="44"/>
          <w:szCs w:val="44"/>
          <w:highlight w:val="none"/>
        </w:rPr>
      </w:pPr>
      <w:bookmarkStart w:id="0" w:name="_Toc11440_WPSOffice_Type2"/>
      <w:r>
        <w:rPr>
          <w:rFonts w:hint="eastAsia" w:ascii="黑体" w:hAnsi="黑体" w:eastAsia="黑体" w:cs="黑体"/>
          <w:color w:val="000000"/>
          <w:sz w:val="44"/>
          <w:szCs w:val="44"/>
          <w:highlight w:val="none"/>
        </w:rPr>
        <w:t>目  录</w:t>
      </w:r>
    </w:p>
    <w:p>
      <w:pPr>
        <w:pStyle w:val="7"/>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000000"/>
          <w:sz w:val="32"/>
          <w:szCs w:val="32"/>
          <w:highlight w:val="none"/>
        </w:rPr>
      </w:pPr>
      <w:r>
        <w:rPr>
          <w:color w:val="000000"/>
          <w:sz w:val="32"/>
          <w:szCs w:val="32"/>
          <w:highlight w:val="none"/>
        </w:rPr>
        <w:fldChar w:fldCharType="begin"/>
      </w:r>
      <w:r>
        <w:rPr>
          <w:color w:val="000000"/>
          <w:sz w:val="32"/>
          <w:szCs w:val="32"/>
          <w:highlight w:val="none"/>
        </w:rPr>
        <w:instrText xml:space="preserve"> HYPERLINK \l _Toc1704_WPSOffice_Level1 </w:instrText>
      </w:r>
      <w:r>
        <w:rPr>
          <w:color w:val="000000"/>
          <w:sz w:val="32"/>
          <w:szCs w:val="32"/>
          <w:highlight w:val="none"/>
        </w:rPr>
        <w:fldChar w:fldCharType="separate"/>
      </w:r>
      <w:r>
        <w:rPr>
          <w:rFonts w:hint="eastAsia" w:ascii="黑体" w:hAnsi="ˎ̥" w:eastAsia="黑体"/>
          <w:color w:val="000000"/>
          <w:sz w:val="32"/>
          <w:szCs w:val="32"/>
          <w:highlight w:val="none"/>
        </w:rPr>
        <w:t>第一部分 基本情况</w:t>
      </w:r>
      <w:r>
        <w:rPr>
          <w:color w:val="000000"/>
          <w:sz w:val="32"/>
          <w:szCs w:val="32"/>
          <w:highlight w:val="none"/>
        </w:rPr>
        <w:tab/>
      </w:r>
      <w:r>
        <w:rPr>
          <w:rFonts w:hint="eastAsia"/>
          <w:color w:val="000000"/>
          <w:sz w:val="32"/>
          <w:szCs w:val="32"/>
          <w:highlight w:val="none"/>
          <w:lang w:val="en-US" w:eastAsia="zh-CN"/>
        </w:rPr>
        <w:t>2</w:t>
      </w:r>
      <w:r>
        <w:rPr>
          <w:color w:val="000000"/>
          <w:sz w:val="32"/>
          <w:szCs w:val="32"/>
          <w:highlight w:val="none"/>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_Toc20274_WPSOffice_Level2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color w:val="000000"/>
          <w:sz w:val="32"/>
          <w:szCs w:val="32"/>
          <w:highlight w:val="none"/>
        </w:rPr>
        <w:t>一、部门</w:t>
      </w:r>
      <w:r>
        <w:rPr>
          <w:rFonts w:hint="eastAsia" w:ascii="仿宋" w:hAnsi="仿宋" w:eastAsia="仿宋" w:cs="仿宋"/>
          <w:color w:val="000000"/>
          <w:sz w:val="32"/>
          <w:szCs w:val="32"/>
          <w:highlight w:val="none"/>
          <w:lang w:eastAsia="zh-CN"/>
        </w:rPr>
        <w:t>（单位）</w:t>
      </w:r>
      <w:r>
        <w:rPr>
          <w:rFonts w:hint="eastAsia" w:ascii="仿宋" w:hAnsi="仿宋" w:eastAsia="仿宋" w:cs="仿宋"/>
          <w:color w:val="000000"/>
          <w:sz w:val="32"/>
          <w:szCs w:val="32"/>
          <w:highlight w:val="none"/>
        </w:rPr>
        <w:t>职责</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2</w:t>
      </w:r>
      <w:r>
        <w:rPr>
          <w:rFonts w:hint="eastAsia" w:ascii="仿宋" w:hAnsi="仿宋" w:eastAsia="仿宋" w:cs="仿宋"/>
          <w:color w:val="000000"/>
          <w:sz w:val="32"/>
          <w:szCs w:val="32"/>
          <w:highlight w:val="none"/>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_Toc4833_WPSOffice_Level2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color w:val="000000"/>
          <w:sz w:val="32"/>
          <w:szCs w:val="32"/>
          <w:highlight w:val="none"/>
        </w:rPr>
        <w:t>二、机构设置</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2</w:t>
      </w:r>
      <w:r>
        <w:rPr>
          <w:rFonts w:hint="eastAsia" w:ascii="仿宋" w:hAnsi="仿宋" w:eastAsia="仿宋" w:cs="仿宋"/>
          <w:color w:val="000000"/>
          <w:sz w:val="32"/>
          <w:szCs w:val="32"/>
          <w:highlight w:val="none"/>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000000"/>
          <w:sz w:val="32"/>
          <w:szCs w:val="32"/>
          <w:highlight w:val="none"/>
        </w:rPr>
      </w:pPr>
      <w:r>
        <w:rPr>
          <w:color w:val="000000"/>
          <w:sz w:val="32"/>
          <w:szCs w:val="32"/>
          <w:highlight w:val="none"/>
        </w:rPr>
        <w:fldChar w:fldCharType="begin"/>
      </w:r>
      <w:r>
        <w:rPr>
          <w:color w:val="000000"/>
          <w:sz w:val="32"/>
          <w:szCs w:val="32"/>
          <w:highlight w:val="none"/>
        </w:rPr>
        <w:instrText xml:space="preserve"> HYPERLINK \l _Toc28253_WPSOffice_Level1 </w:instrText>
      </w:r>
      <w:r>
        <w:rPr>
          <w:color w:val="000000"/>
          <w:sz w:val="32"/>
          <w:szCs w:val="32"/>
          <w:highlight w:val="none"/>
        </w:rPr>
        <w:fldChar w:fldCharType="separate"/>
      </w:r>
      <w:r>
        <w:rPr>
          <w:rFonts w:hint="eastAsia" w:ascii="黑体" w:hAnsi="ˎ̥" w:eastAsia="黑体"/>
          <w:color w:val="000000"/>
          <w:sz w:val="32"/>
          <w:szCs w:val="32"/>
          <w:highlight w:val="none"/>
        </w:rPr>
        <w:t>第二部分  202</w:t>
      </w:r>
      <w:r>
        <w:rPr>
          <w:rFonts w:ascii="黑体" w:hAnsi="ˎ̥" w:eastAsia="黑体"/>
          <w:color w:val="000000"/>
          <w:sz w:val="32"/>
          <w:szCs w:val="32"/>
          <w:highlight w:val="none"/>
        </w:rPr>
        <w:t>2</w:t>
      </w:r>
      <w:r>
        <w:rPr>
          <w:rFonts w:hint="eastAsia" w:ascii="黑体" w:hAnsi="ˎ̥" w:eastAsia="黑体"/>
          <w:color w:val="000000"/>
          <w:sz w:val="32"/>
          <w:szCs w:val="32"/>
          <w:highlight w:val="none"/>
        </w:rPr>
        <w:t>年度部门决算公开表</w:t>
      </w:r>
      <w:r>
        <w:rPr>
          <w:color w:val="000000"/>
          <w:sz w:val="32"/>
          <w:szCs w:val="32"/>
          <w:highlight w:val="none"/>
        </w:rPr>
        <w:tab/>
      </w:r>
      <w:r>
        <w:rPr>
          <w:rFonts w:hint="eastAsia"/>
          <w:color w:val="000000"/>
          <w:sz w:val="32"/>
          <w:szCs w:val="32"/>
          <w:highlight w:val="none"/>
          <w:lang w:val="en-US" w:eastAsia="zh-CN"/>
        </w:rPr>
        <w:t>2</w:t>
      </w:r>
      <w:r>
        <w:rPr>
          <w:color w:val="000000"/>
          <w:sz w:val="32"/>
          <w:szCs w:val="32"/>
          <w:highlight w:val="none"/>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000000"/>
          <w:sz w:val="32"/>
          <w:szCs w:val="32"/>
          <w:highlight w:val="none"/>
        </w:rPr>
      </w:pPr>
      <w:r>
        <w:rPr>
          <w:color w:val="000000"/>
          <w:sz w:val="32"/>
          <w:szCs w:val="32"/>
          <w:highlight w:val="none"/>
        </w:rPr>
        <w:fldChar w:fldCharType="begin"/>
      </w:r>
      <w:r>
        <w:rPr>
          <w:color w:val="000000"/>
          <w:sz w:val="32"/>
          <w:szCs w:val="32"/>
          <w:highlight w:val="none"/>
        </w:rPr>
        <w:instrText xml:space="preserve"> HYPERLINK \l _Toc27590_WPSOffice_Level1 </w:instrText>
      </w:r>
      <w:r>
        <w:rPr>
          <w:color w:val="000000"/>
          <w:sz w:val="32"/>
          <w:szCs w:val="32"/>
          <w:highlight w:val="none"/>
        </w:rPr>
        <w:fldChar w:fldCharType="separate"/>
      </w:r>
      <w:r>
        <w:rPr>
          <w:rFonts w:hint="eastAsia" w:ascii="黑体" w:hAnsi="黑体" w:eastAsia="黑体" w:cs="黑体"/>
          <w:color w:val="000000"/>
          <w:sz w:val="32"/>
          <w:szCs w:val="32"/>
          <w:highlight w:val="none"/>
        </w:rPr>
        <w:t>第三部分</w:t>
      </w:r>
      <w:r>
        <w:rPr>
          <w:rFonts w:hint="eastAsia"/>
          <w:color w:val="000000"/>
          <w:sz w:val="32"/>
          <w:szCs w:val="32"/>
          <w:highlight w:val="none"/>
        </w:rPr>
        <w:t xml:space="preserve">  </w:t>
      </w:r>
      <w:r>
        <w:rPr>
          <w:rFonts w:hint="eastAsia" w:ascii="黑体" w:hAnsi="ˎ̥" w:eastAsia="黑体"/>
          <w:color w:val="000000"/>
          <w:sz w:val="32"/>
          <w:szCs w:val="32"/>
          <w:highlight w:val="none"/>
        </w:rPr>
        <w:t>2022年度部门决算情况说明</w:t>
      </w:r>
      <w:r>
        <w:rPr>
          <w:color w:val="000000"/>
          <w:sz w:val="32"/>
          <w:szCs w:val="32"/>
          <w:highlight w:val="none"/>
        </w:rPr>
        <w:tab/>
      </w:r>
      <w:r>
        <w:rPr>
          <w:rFonts w:hint="eastAsia"/>
          <w:color w:val="000000"/>
          <w:sz w:val="32"/>
          <w:szCs w:val="32"/>
          <w:highlight w:val="none"/>
          <w:lang w:val="en-US" w:eastAsia="zh-CN"/>
        </w:rPr>
        <w:t>3</w:t>
      </w:r>
      <w:r>
        <w:rPr>
          <w:color w:val="000000"/>
          <w:sz w:val="32"/>
          <w:szCs w:val="32"/>
          <w:highlight w:val="none"/>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_Toc21737_WPSOffice_Level2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一、收入支出总体情况说明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3</w:t>
      </w:r>
      <w:r>
        <w:rPr>
          <w:rFonts w:hint="eastAsia" w:ascii="仿宋" w:hAnsi="仿宋" w:eastAsia="仿宋" w:cs="仿宋"/>
          <w:color w:val="000000"/>
          <w:sz w:val="32"/>
          <w:szCs w:val="32"/>
          <w:highlight w:val="none"/>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二、收入决算情况说明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3</w:t>
      </w:r>
      <w:r>
        <w:rPr>
          <w:rFonts w:hint="eastAsia" w:ascii="仿宋" w:hAnsi="仿宋" w:eastAsia="仿宋" w:cs="仿宋"/>
          <w:color w:val="000000"/>
          <w:sz w:val="32"/>
          <w:szCs w:val="32"/>
          <w:highlight w:val="none"/>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三、支出决算情况说明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4</w:t>
      </w:r>
      <w:r>
        <w:rPr>
          <w:rFonts w:hint="eastAsia" w:ascii="仿宋" w:hAnsi="仿宋" w:eastAsia="仿宋" w:cs="仿宋"/>
          <w:color w:val="000000"/>
          <w:sz w:val="32"/>
          <w:szCs w:val="32"/>
          <w:highlight w:val="none"/>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四、财政拨款收入支出决算情况说明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4</w:t>
      </w:r>
      <w:r>
        <w:rPr>
          <w:rFonts w:hint="eastAsia" w:ascii="仿宋" w:hAnsi="仿宋" w:eastAsia="仿宋" w:cs="仿宋"/>
          <w:color w:val="000000"/>
          <w:sz w:val="32"/>
          <w:szCs w:val="32"/>
          <w:highlight w:val="none"/>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五、一般公共预算财政拨款支出决算情况说明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5</w:t>
      </w:r>
      <w:r>
        <w:rPr>
          <w:rFonts w:hint="eastAsia" w:ascii="仿宋" w:hAnsi="仿宋" w:eastAsia="仿宋" w:cs="仿宋"/>
          <w:color w:val="000000"/>
          <w:sz w:val="32"/>
          <w:szCs w:val="32"/>
          <w:highlight w:val="none"/>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lang w:eastAsia="zh-CN"/>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六、一般公共预算财政拨款基本支出决算情况说明</w:t>
      </w:r>
      <w:r>
        <w:rPr>
          <w:rFonts w:hint="eastAsia" w:ascii="仿宋" w:hAnsi="仿宋" w:eastAsia="仿宋" w:cs="仿宋"/>
          <w:color w:val="000000"/>
          <w:sz w:val="32"/>
          <w:szCs w:val="32"/>
          <w:highlight w:val="none"/>
        </w:rPr>
        <w:fldChar w:fldCharType="end"/>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6</w:t>
      </w:r>
    </w:p>
    <w:p>
      <w:pPr>
        <w:pStyle w:val="8"/>
        <w:keepNext w:val="0"/>
        <w:keepLines w:val="0"/>
        <w:pageBreakBefore w:val="0"/>
        <w:numPr>
          <w:ilvl w:val="0"/>
          <w:numId w:val="1"/>
        </w:numPr>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bCs/>
          <w:color w:val="000000"/>
          <w:sz w:val="32"/>
          <w:szCs w:val="32"/>
          <w:highlight w:val="none"/>
        </w:rPr>
        <w:t>政府性基金预算财政拨款支出决算情况说明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7</w:t>
      </w:r>
    </w:p>
    <w:p>
      <w:pPr>
        <w:pStyle w:val="8"/>
        <w:keepNext w:val="0"/>
        <w:keepLines w:val="0"/>
        <w:pageBreakBefore w:val="0"/>
        <w:numPr>
          <w:ilvl w:val="0"/>
          <w:numId w:val="1"/>
        </w:numPr>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bCs/>
          <w:color w:val="000000"/>
          <w:sz w:val="32"/>
          <w:szCs w:val="32"/>
          <w:highlight w:val="none"/>
        </w:rPr>
        <w:t>国有资本经营预算财政拨款支出决算情况说明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rPr>
        <w:t>8</w:t>
      </w:r>
    </w:p>
    <w:p>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九、财政拨款“三公”经费支出决算情况说明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8</w:t>
      </w:r>
      <w:r>
        <w:rPr>
          <w:rFonts w:hint="eastAsia" w:ascii="仿宋" w:hAnsi="仿宋" w:eastAsia="仿宋" w:cs="仿宋"/>
          <w:color w:val="000000"/>
          <w:sz w:val="32"/>
          <w:szCs w:val="32"/>
          <w:highlight w:val="none"/>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lang w:eastAsia="zh-CN"/>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十、预算绩效情况说明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rPr>
        <w:fldChar w:fldCharType="end"/>
      </w:r>
      <w:r>
        <w:rPr>
          <w:rFonts w:hint="eastAsia" w:ascii="仿宋" w:hAnsi="仿宋" w:eastAsia="仿宋" w:cs="仿宋"/>
          <w:color w:val="000000"/>
          <w:sz w:val="32"/>
          <w:szCs w:val="32"/>
          <w:highlight w:val="none"/>
          <w:lang w:val="en-US" w:eastAsia="zh-CN"/>
        </w:rPr>
        <w:t>9</w:t>
      </w:r>
    </w:p>
    <w:p>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default" w:ascii="仿宋" w:hAnsi="仿宋" w:eastAsia="仿宋" w:cs="仿宋"/>
          <w:color w:val="000000"/>
          <w:sz w:val="32"/>
          <w:szCs w:val="32"/>
          <w:highlight w:val="none"/>
          <w:lang w:val="en-US" w:eastAsia="zh-CN"/>
        </w:rPr>
      </w:pPr>
      <w:r>
        <w:rPr>
          <w:rFonts w:hint="eastAsia" w:ascii="仿宋" w:hAnsi="仿宋" w:eastAsia="仿宋" w:cs="仿宋"/>
          <w:bCs/>
          <w:color w:val="000000"/>
          <w:sz w:val="32"/>
          <w:szCs w:val="32"/>
          <w:highlight w:val="none"/>
        </w:rPr>
        <w:t>十一、其他重要事项情况说明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rPr>
        <w:t>1</w:t>
      </w:r>
      <w:r>
        <w:rPr>
          <w:rFonts w:hint="eastAsia" w:ascii="仿宋" w:hAnsi="仿宋" w:eastAsia="仿宋" w:cs="仿宋"/>
          <w:color w:val="000000"/>
          <w:sz w:val="32"/>
          <w:szCs w:val="32"/>
          <w:highlight w:val="none"/>
          <w:lang w:val="en-US" w:eastAsia="zh-CN"/>
        </w:rPr>
        <w:t>1</w:t>
      </w:r>
    </w:p>
    <w:p>
      <w:pPr>
        <w:pStyle w:val="7"/>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default" w:ascii="黑体" w:hAnsi="ˎ̥" w:eastAsia="宋体"/>
          <w:b/>
          <w:color w:val="000000"/>
          <w:sz w:val="32"/>
          <w:szCs w:val="32"/>
          <w:highlight w:val="none"/>
          <w:lang w:val="en-US" w:eastAsia="zh-CN"/>
        </w:rPr>
      </w:pPr>
      <w:r>
        <w:rPr>
          <w:color w:val="000000"/>
          <w:sz w:val="32"/>
          <w:szCs w:val="32"/>
          <w:highlight w:val="none"/>
        </w:rPr>
        <w:fldChar w:fldCharType="begin"/>
      </w:r>
      <w:r>
        <w:rPr>
          <w:color w:val="000000"/>
          <w:sz w:val="32"/>
          <w:szCs w:val="32"/>
          <w:highlight w:val="none"/>
        </w:rPr>
        <w:instrText xml:space="preserve"> HYPERLINK \l _Toc15425_WPSOffice_Level1 </w:instrText>
      </w:r>
      <w:r>
        <w:rPr>
          <w:color w:val="000000"/>
          <w:sz w:val="32"/>
          <w:szCs w:val="32"/>
          <w:highlight w:val="none"/>
        </w:rPr>
        <w:fldChar w:fldCharType="separate"/>
      </w:r>
      <w:r>
        <w:rPr>
          <w:rFonts w:hint="eastAsia" w:ascii="黑体" w:hAnsi="ˎ̥" w:eastAsia="黑体"/>
          <w:color w:val="000000"/>
          <w:sz w:val="32"/>
          <w:szCs w:val="32"/>
          <w:highlight w:val="none"/>
        </w:rPr>
        <w:t>第四部分  名词解释</w:t>
      </w:r>
      <w:r>
        <w:rPr>
          <w:color w:val="000000"/>
          <w:sz w:val="32"/>
          <w:szCs w:val="32"/>
          <w:highlight w:val="none"/>
        </w:rPr>
        <w:tab/>
      </w:r>
      <w:bookmarkStart w:id="1" w:name="_Toc15425_WPSOffice_Level1Page"/>
      <w:r>
        <w:rPr>
          <w:color w:val="000000"/>
          <w:sz w:val="32"/>
          <w:szCs w:val="32"/>
          <w:highlight w:val="none"/>
        </w:rPr>
        <w:t>1</w:t>
      </w:r>
      <w:bookmarkEnd w:id="1"/>
      <w:r>
        <w:rPr>
          <w:color w:val="000000"/>
          <w:sz w:val="32"/>
          <w:szCs w:val="32"/>
          <w:highlight w:val="none"/>
        </w:rPr>
        <w:fldChar w:fldCharType="end"/>
      </w:r>
      <w:bookmarkEnd w:id="0"/>
      <w:r>
        <w:rPr>
          <w:rFonts w:hint="eastAsia"/>
          <w:color w:val="000000"/>
          <w:sz w:val="32"/>
          <w:szCs w:val="32"/>
          <w:highlight w:val="none"/>
          <w:lang w:val="en-US" w:eastAsia="zh-CN"/>
        </w:rPr>
        <w:t>2</w:t>
      </w:r>
      <w:bookmarkStart w:id="119" w:name="_GoBack"/>
      <w:bookmarkEnd w:id="119"/>
    </w:p>
    <w:p>
      <w:pPr>
        <w:jc w:val="center"/>
        <w:rPr>
          <w:rFonts w:hint="eastAsia" w:ascii="黑体" w:hAnsi="ˎ̥" w:eastAsia="黑体"/>
          <w:color w:val="000000"/>
          <w:sz w:val="32"/>
          <w:szCs w:val="32"/>
          <w:highlight w:val="none"/>
        </w:rPr>
      </w:pPr>
      <w:bookmarkStart w:id="2" w:name="_Toc10720_WPSOffice_Level1"/>
      <w:bookmarkStart w:id="3" w:name="_Toc32433_WPSOffice_Level1"/>
      <w:bookmarkStart w:id="4" w:name="_Toc1704_WPSOffice_Level1"/>
      <w:bookmarkStart w:id="5" w:name="_Toc22941_WPSOffice_Level1"/>
      <w:bookmarkStart w:id="6" w:name="_Toc10049_WPSOffice_Level1"/>
      <w:bookmarkStart w:id="7" w:name="_Toc23465_WPSOffice_Level1"/>
      <w:bookmarkStart w:id="8" w:name="_Toc24238_WPSOffice_Level2"/>
      <w:bookmarkStart w:id="9" w:name="_Toc20205_WPSOffice_Level2"/>
      <w:bookmarkStart w:id="10" w:name="_Toc32622_WPSOffice_Level2"/>
      <w:bookmarkStart w:id="11" w:name="_Toc20274_WPSOffice_Level2"/>
      <w:bookmarkStart w:id="12" w:name="_Toc14159_WPSOffice_Level2"/>
      <w:bookmarkStart w:id="13" w:name="_Toc26580_WPSOffice_Level2"/>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r>
        <w:rPr>
          <w:rFonts w:hint="eastAsia" w:ascii="黑体" w:hAnsi="ˎ̥" w:eastAsia="黑体"/>
          <w:color w:val="000000"/>
          <w:sz w:val="32"/>
          <w:szCs w:val="32"/>
          <w:highlight w:val="none"/>
        </w:rPr>
        <w:br w:type="page"/>
      </w:r>
      <w:r>
        <w:rPr>
          <w:rFonts w:hint="eastAsia" w:ascii="黑体" w:hAnsi="ˎ̥" w:eastAsia="黑体"/>
          <w:color w:val="000000"/>
          <w:sz w:val="32"/>
          <w:szCs w:val="32"/>
          <w:highlight w:val="none"/>
        </w:rPr>
        <w:t xml:space="preserve">第一部分  </w:t>
      </w:r>
      <w:bookmarkEnd w:id="2"/>
      <w:bookmarkEnd w:id="3"/>
      <w:bookmarkEnd w:id="4"/>
      <w:bookmarkEnd w:id="5"/>
      <w:bookmarkEnd w:id="6"/>
      <w:bookmarkEnd w:id="7"/>
      <w:r>
        <w:rPr>
          <w:rFonts w:hint="eastAsia" w:ascii="黑体" w:hAnsi="ˎ̥" w:eastAsia="黑体"/>
          <w:color w:val="000000"/>
          <w:sz w:val="32"/>
          <w:szCs w:val="32"/>
          <w:highlight w:val="none"/>
        </w:rPr>
        <w:t>基本情况</w:t>
      </w:r>
    </w:p>
    <w:bookmarkEnd w:id="8"/>
    <w:bookmarkEnd w:id="9"/>
    <w:bookmarkEnd w:id="10"/>
    <w:bookmarkEnd w:id="11"/>
    <w:bookmarkEnd w:id="12"/>
    <w:bookmarkEnd w:id="13"/>
    <w:p>
      <w:pPr>
        <w:ind w:firstLine="640"/>
        <w:rPr>
          <w:rFonts w:cs="黑体" w:asciiTheme="minorEastAsia" w:hAnsiTheme="minorEastAsia" w:eastAsiaTheme="minorEastAsia"/>
          <w:b/>
          <w:bCs/>
          <w:sz w:val="32"/>
          <w:szCs w:val="32"/>
        </w:rPr>
      </w:pPr>
      <w:bookmarkStart w:id="14" w:name="_Toc6234_WPSOffice_Level1"/>
      <w:bookmarkStart w:id="15" w:name="_Toc28253_WPSOffice_Level1"/>
      <w:bookmarkStart w:id="16" w:name="_Toc30690_WPSOffice_Level1"/>
      <w:bookmarkStart w:id="17" w:name="_Toc30451_WPSOffice_Level1"/>
      <w:bookmarkStart w:id="18" w:name="_Toc8164_WPSOffice_Level1"/>
      <w:bookmarkStart w:id="19" w:name="_Toc15521_WPSOffice_Level1"/>
      <w:bookmarkStart w:id="20" w:name="_Toc8867_WPSOffice_Level2"/>
      <w:bookmarkStart w:id="21" w:name="_Toc11518_WPSOffice_Level2"/>
      <w:bookmarkStart w:id="22" w:name="_Toc6211_WPSOffice_Level2"/>
      <w:bookmarkStart w:id="23" w:name="_Toc32695_WPSOffice_Level2"/>
      <w:bookmarkStart w:id="24" w:name="_Toc4029_WPSOffice_Level2"/>
      <w:bookmarkStart w:id="25" w:name="_Toc32472_WPSOffice_Level2"/>
      <w:r>
        <w:rPr>
          <w:rFonts w:hint="eastAsia" w:cs="黑体" w:asciiTheme="minorEastAsia" w:hAnsiTheme="minorEastAsia" w:eastAsiaTheme="minorEastAsia"/>
          <w:b/>
          <w:bCs/>
          <w:sz w:val="32"/>
          <w:szCs w:val="32"/>
        </w:rPr>
        <w:t>一、部门（单位）职责</w:t>
      </w:r>
    </w:p>
    <w:p>
      <w:pPr>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从事综合性医疗、急救、疾病预防、保健、康复等医疗卫生工作；承担我省在国家南海海域医疗救援保障基地职责；开展临床医学科研工作；承担省内医学卫生院校临床教学和市县医疗卫生单位卫生技术人员进修培训工作；承办上级主管部门交办的其他工作。</w:t>
      </w:r>
    </w:p>
    <w:p>
      <w:pPr>
        <w:ind w:firstLine="643" w:firstLineChars="200"/>
        <w:rPr>
          <w:rFonts w:cs="黑体" w:asciiTheme="minorEastAsia" w:hAnsiTheme="minorEastAsia" w:eastAsiaTheme="minorEastAsia"/>
          <w:b/>
          <w:bCs/>
          <w:sz w:val="32"/>
          <w:szCs w:val="32"/>
        </w:rPr>
      </w:pPr>
      <w:bookmarkStart w:id="26" w:name="_Toc24474_WPSOffice_Level2"/>
      <w:bookmarkStart w:id="27" w:name="_Toc4833_WPSOffice_Level2"/>
      <w:bookmarkStart w:id="28" w:name="_Toc17796_WPSOffice_Level2"/>
      <w:bookmarkStart w:id="29" w:name="_Toc24059_WPSOffice_Level2"/>
      <w:bookmarkStart w:id="30" w:name="_Toc6572_WPSOffice_Level2"/>
      <w:r>
        <w:rPr>
          <w:rFonts w:hint="eastAsia" w:cs="黑体" w:asciiTheme="minorEastAsia" w:hAnsiTheme="minorEastAsia" w:eastAsiaTheme="minorEastAsia"/>
          <w:b/>
          <w:bCs/>
          <w:sz w:val="32"/>
          <w:szCs w:val="32"/>
        </w:rPr>
        <w:t>二、机构设置</w:t>
      </w:r>
      <w:bookmarkEnd w:id="26"/>
      <w:bookmarkEnd w:id="27"/>
      <w:bookmarkEnd w:id="28"/>
      <w:bookmarkEnd w:id="29"/>
      <w:bookmarkEnd w:id="30"/>
    </w:p>
    <w:p>
      <w:pPr>
        <w:ind w:firstLine="640" w:firstLineChars="200"/>
        <w:rPr>
          <w:rFonts w:hint="eastAsia" w:ascii="黑体" w:hAnsi="ˎ̥" w:eastAsia="黑体"/>
          <w:color w:val="000000"/>
          <w:sz w:val="32"/>
          <w:szCs w:val="32"/>
          <w:highlight w:val="none"/>
        </w:rPr>
      </w:pPr>
      <w:r>
        <w:rPr>
          <w:rFonts w:hint="eastAsia" w:asciiTheme="minorEastAsia" w:hAnsiTheme="minorEastAsia" w:eastAsiaTheme="minorEastAsia"/>
          <w:sz w:val="32"/>
          <w:szCs w:val="32"/>
        </w:rPr>
        <w:t>内设14个科级党政管理机构，医疗科室根据服务功能设置。1、医院办公室2、党委办公室3、组织人事科4、医务部5、科教部6、护理部7、财务部8、医学装备部9、总务后勤部10、医疗保险中心11、信息中心12、质量管理部13、安全保卫部14、工会</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r>
        <w:rPr>
          <w:rFonts w:hint="eastAsia" w:ascii="黑体" w:hAnsi="ˎ̥" w:eastAsia="黑体"/>
          <w:color w:val="000000"/>
          <w:sz w:val="32"/>
          <w:szCs w:val="32"/>
          <w:highlight w:val="none"/>
        </w:rPr>
        <w:t>第二部分  2022年度部门决算公开报表</w:t>
      </w:r>
      <w:bookmarkEnd w:id="14"/>
      <w:bookmarkEnd w:id="15"/>
      <w:bookmarkEnd w:id="16"/>
      <w:bookmarkEnd w:id="17"/>
      <w:bookmarkEnd w:id="18"/>
      <w:bookmarkEnd w:id="19"/>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一、收入支出决算公开表</w:t>
      </w:r>
      <w:bookmarkEnd w:id="20"/>
      <w:bookmarkEnd w:id="21"/>
      <w:bookmarkEnd w:id="22"/>
      <w:bookmarkEnd w:id="23"/>
      <w:bookmarkEnd w:id="24"/>
      <w:bookmarkEnd w:id="25"/>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bookmarkStart w:id="31" w:name="_Toc30334_WPSOffice_Level2"/>
      <w:bookmarkStart w:id="32" w:name="_Toc23139_WPSOffice_Level2"/>
      <w:bookmarkStart w:id="33" w:name="_Toc25608_WPSOffice_Level2"/>
      <w:bookmarkStart w:id="34" w:name="_Toc14349_WPSOffice_Level2"/>
      <w:bookmarkStart w:id="35" w:name="_Toc28622_WPSOffice_Level2"/>
      <w:bookmarkStart w:id="36" w:name="_Toc26621_WPSOffice_Level2"/>
      <w:r>
        <w:rPr>
          <w:rFonts w:hint="eastAsia" w:ascii="黑体" w:hAnsi="黑体" w:eastAsia="黑体" w:cs="黑体"/>
          <w:color w:val="000000"/>
          <w:sz w:val="32"/>
          <w:szCs w:val="32"/>
          <w:highlight w:val="none"/>
        </w:rPr>
        <w:t>二、收入决算公开表</w:t>
      </w:r>
      <w:bookmarkEnd w:id="31"/>
      <w:bookmarkEnd w:id="32"/>
      <w:bookmarkEnd w:id="33"/>
      <w:bookmarkEnd w:id="34"/>
      <w:bookmarkEnd w:id="35"/>
      <w:bookmarkEnd w:id="36"/>
      <w:bookmarkStart w:id="37" w:name="_Toc14658_WPSOffice_Level2"/>
      <w:bookmarkStart w:id="38" w:name="_Toc13854_WPSOffice_Level2"/>
      <w:bookmarkStart w:id="39" w:name="_Toc3262_WPSOffice_Level2"/>
      <w:bookmarkStart w:id="40" w:name="_Toc17626_WPSOffice_Level2"/>
      <w:bookmarkStart w:id="41" w:name="_Toc5489_WPSOffice_Level2"/>
      <w:bookmarkStart w:id="42" w:name="_Toc17858_WPSOffice_Level2"/>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三、支出决算公开表</w:t>
      </w:r>
      <w:bookmarkEnd w:id="37"/>
      <w:bookmarkEnd w:id="38"/>
      <w:bookmarkEnd w:id="39"/>
      <w:bookmarkEnd w:id="40"/>
      <w:bookmarkEnd w:id="41"/>
      <w:bookmarkEnd w:id="42"/>
      <w:bookmarkStart w:id="43" w:name="_Toc23493_WPSOffice_Level2"/>
      <w:bookmarkStart w:id="44" w:name="_Toc7988_WPSOffice_Level2"/>
      <w:bookmarkStart w:id="45" w:name="_Toc13701_WPSOffice_Level2"/>
      <w:bookmarkStart w:id="46" w:name="_Toc21415_WPSOffice_Level2"/>
      <w:bookmarkStart w:id="47" w:name="_Toc23591_WPSOffice_Level2"/>
      <w:bookmarkStart w:id="48" w:name="_Toc4265_WPSOffice_Level2"/>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四、财政拨款收入支出决算公开表</w:t>
      </w:r>
      <w:bookmarkEnd w:id="43"/>
      <w:bookmarkEnd w:id="44"/>
      <w:bookmarkEnd w:id="45"/>
      <w:bookmarkEnd w:id="46"/>
      <w:bookmarkEnd w:id="47"/>
      <w:bookmarkEnd w:id="48"/>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bookmarkStart w:id="49" w:name="_Toc23829_WPSOffice_Level2"/>
      <w:bookmarkStart w:id="50" w:name="_Toc7879_WPSOffice_Level2"/>
      <w:bookmarkStart w:id="51" w:name="_Toc25166_WPSOffice_Level2"/>
      <w:bookmarkStart w:id="52" w:name="_Toc22783_WPSOffice_Level2"/>
      <w:bookmarkStart w:id="53" w:name="_Toc2158_WPSOffice_Level2"/>
      <w:bookmarkStart w:id="54" w:name="_Toc13516_WPSOffice_Level2"/>
      <w:r>
        <w:rPr>
          <w:rFonts w:hint="eastAsia" w:ascii="黑体" w:hAnsi="黑体" w:eastAsia="黑体" w:cs="黑体"/>
          <w:color w:val="000000"/>
          <w:sz w:val="32"/>
          <w:szCs w:val="32"/>
          <w:highlight w:val="none"/>
        </w:rPr>
        <w:t>五、一般公共预算财政拨款收入支出决算</w:t>
      </w:r>
      <w:bookmarkEnd w:id="49"/>
      <w:bookmarkEnd w:id="50"/>
      <w:bookmarkEnd w:id="51"/>
      <w:bookmarkEnd w:id="52"/>
      <w:r>
        <w:rPr>
          <w:rFonts w:hint="eastAsia" w:ascii="黑体" w:hAnsi="黑体" w:eastAsia="黑体" w:cs="黑体"/>
          <w:color w:val="000000"/>
          <w:sz w:val="32"/>
          <w:szCs w:val="32"/>
          <w:highlight w:val="none"/>
        </w:rPr>
        <w:t>公开表</w:t>
      </w:r>
      <w:bookmarkEnd w:id="53"/>
      <w:bookmarkEnd w:id="54"/>
      <w:bookmarkStart w:id="55" w:name="_Toc5343_WPSOffice_Level2"/>
      <w:bookmarkStart w:id="56" w:name="_Toc2632_WPSOffice_Level2"/>
      <w:bookmarkStart w:id="57" w:name="_Toc17833_WPSOffice_Level2"/>
      <w:bookmarkStart w:id="58" w:name="_Toc8373_WPSOffice_Level2"/>
      <w:bookmarkStart w:id="59" w:name="_Toc17283_WPSOffice_Level2"/>
      <w:bookmarkStart w:id="60" w:name="_Toc25362_WPSOffice_Level2"/>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六、一般公共预算财政拨款基本支出决算</w:t>
      </w:r>
      <w:bookmarkEnd w:id="55"/>
      <w:bookmarkEnd w:id="56"/>
      <w:bookmarkEnd w:id="57"/>
      <w:bookmarkEnd w:id="58"/>
      <w:bookmarkEnd w:id="59"/>
      <w:bookmarkEnd w:id="60"/>
      <w:r>
        <w:rPr>
          <w:rFonts w:hint="eastAsia" w:ascii="黑体" w:hAnsi="黑体" w:eastAsia="黑体" w:cs="黑体"/>
          <w:color w:val="000000"/>
          <w:sz w:val="32"/>
          <w:szCs w:val="32"/>
          <w:highlight w:val="none"/>
        </w:rPr>
        <w:t>公开表</w:t>
      </w:r>
    </w:p>
    <w:p>
      <w:pPr>
        <w:keepNext w:val="0"/>
        <w:keepLines w:val="0"/>
        <w:pageBreakBefore w:val="0"/>
        <w:kinsoku/>
        <w:wordWrap/>
        <w:overflowPunct/>
        <w:topLinePunct w:val="0"/>
        <w:autoSpaceDE/>
        <w:autoSpaceDN/>
        <w:bidi w:val="0"/>
        <w:adjustRightInd/>
        <w:snapToGrid/>
        <w:spacing w:line="560" w:lineRule="exact"/>
        <w:ind w:left="1118" w:leftChars="304" w:hanging="480" w:hangingChars="150"/>
        <w:textAlignment w:val="auto"/>
        <w:rPr>
          <w:rFonts w:hint="eastAsia" w:ascii="黑体" w:hAnsi="黑体" w:eastAsia="黑体" w:cs="黑体"/>
          <w:color w:val="000000"/>
          <w:sz w:val="32"/>
          <w:szCs w:val="32"/>
          <w:highlight w:val="none"/>
        </w:rPr>
      </w:pPr>
      <w:bookmarkStart w:id="61" w:name="_Toc21310_WPSOffice_Level2"/>
      <w:bookmarkStart w:id="62" w:name="_Toc1533_WPSOffice_Level2"/>
      <w:bookmarkStart w:id="63" w:name="_Toc11799_WPSOffice_Level2"/>
      <w:bookmarkStart w:id="64" w:name="_Toc13345_WPSOffice_Level2"/>
      <w:bookmarkStart w:id="65" w:name="_Toc5594_WPSOffice_Level2"/>
      <w:bookmarkStart w:id="66" w:name="_Toc6020_WPSOffice_Level2"/>
      <w:r>
        <w:rPr>
          <w:rFonts w:hint="eastAsia" w:ascii="黑体" w:hAnsi="黑体" w:eastAsia="黑体" w:cs="黑体"/>
          <w:color w:val="000000"/>
          <w:sz w:val="32"/>
          <w:szCs w:val="32"/>
          <w:highlight w:val="none"/>
        </w:rPr>
        <w:t>七、政府性基金预算财政拨款收入支出决算</w:t>
      </w:r>
      <w:bookmarkEnd w:id="61"/>
      <w:bookmarkEnd w:id="62"/>
      <w:bookmarkEnd w:id="63"/>
      <w:bookmarkEnd w:id="64"/>
      <w:bookmarkEnd w:id="65"/>
      <w:bookmarkEnd w:id="66"/>
      <w:r>
        <w:rPr>
          <w:rFonts w:hint="eastAsia" w:ascii="黑体" w:hAnsi="黑体" w:eastAsia="黑体" w:cs="黑体"/>
          <w:color w:val="000000"/>
          <w:sz w:val="32"/>
          <w:szCs w:val="32"/>
          <w:highlight w:val="none"/>
        </w:rPr>
        <w:t>公开表</w:t>
      </w:r>
    </w:p>
    <w:p>
      <w:pPr>
        <w:keepNext w:val="0"/>
        <w:keepLines w:val="0"/>
        <w:pageBreakBefore w:val="0"/>
        <w:kinsoku/>
        <w:wordWrap/>
        <w:overflowPunct/>
        <w:topLinePunct w:val="0"/>
        <w:autoSpaceDE/>
        <w:autoSpaceDN/>
        <w:bidi w:val="0"/>
        <w:adjustRightInd/>
        <w:snapToGrid/>
        <w:spacing w:line="560" w:lineRule="exact"/>
        <w:ind w:left="1118" w:leftChars="304" w:hanging="480" w:hangingChars="150"/>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八、国有资本经营预算财政拨款收入支出决算公开表</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color w:val="000000"/>
          <w:sz w:val="32"/>
          <w:szCs w:val="32"/>
          <w:highlight w:val="none"/>
        </w:rPr>
      </w:pPr>
      <w:bookmarkStart w:id="67" w:name="_Toc9377_WPSOffice_Level2"/>
      <w:bookmarkStart w:id="68" w:name="_Toc1820_WPSOffice_Level2"/>
      <w:bookmarkStart w:id="69" w:name="_Toc19961_WPSOffice_Level2"/>
      <w:bookmarkStart w:id="70" w:name="_Toc29886_WPSOffice_Level2"/>
      <w:r>
        <w:rPr>
          <w:rFonts w:hint="eastAsia" w:ascii="黑体" w:hAnsi="黑体" w:eastAsia="黑体" w:cs="黑体"/>
          <w:color w:val="000000"/>
          <w:sz w:val="32"/>
          <w:szCs w:val="32"/>
          <w:highlight w:val="none"/>
        </w:rPr>
        <w:t>九、财政拨款“三公”经费支出决算</w:t>
      </w:r>
      <w:bookmarkEnd w:id="67"/>
      <w:bookmarkEnd w:id="68"/>
      <w:bookmarkEnd w:id="69"/>
      <w:bookmarkEnd w:id="70"/>
      <w:r>
        <w:rPr>
          <w:rFonts w:hint="eastAsia" w:ascii="黑体" w:hAnsi="黑体" w:eastAsia="黑体" w:cs="黑体"/>
          <w:color w:val="000000"/>
          <w:sz w:val="32"/>
          <w:szCs w:val="32"/>
          <w:highlight w:val="none"/>
        </w:rPr>
        <w:t>公开表</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color w:val="000000"/>
          <w:sz w:val="32"/>
          <w:szCs w:val="32"/>
          <w:highlight w:val="none"/>
        </w:rPr>
      </w:pPr>
      <w:r>
        <w:rPr>
          <w:rFonts w:hint="eastAsia" w:ascii="黑体" w:hAnsi="黑体" w:eastAsia="黑体" w:cs="黑体"/>
          <w:color w:val="000000"/>
          <w:w w:val="96"/>
          <w:sz w:val="32"/>
          <w:szCs w:val="32"/>
          <w:highlight w:val="none"/>
        </w:rPr>
        <w:t>以上报表见附件</w:t>
      </w:r>
      <w:r>
        <w:rPr>
          <w:rFonts w:hint="eastAsia" w:ascii="黑体" w:hAnsi="黑体" w:eastAsia="黑体" w:cs="黑体"/>
          <w:color w:val="000000"/>
          <w:w w:val="96"/>
          <w:sz w:val="32"/>
          <w:szCs w:val="32"/>
          <w:highlight w:val="none"/>
          <w:lang w:val="en-US" w:eastAsia="zh-CN"/>
        </w:rPr>
        <w:t>1</w:t>
      </w:r>
      <w:r>
        <w:rPr>
          <w:rFonts w:hint="eastAsia" w:ascii="黑体" w:hAnsi="黑体" w:eastAsia="黑体" w:cs="黑体"/>
          <w:color w:val="000000"/>
          <w:w w:val="96"/>
          <w:sz w:val="32"/>
          <w:szCs w:val="32"/>
          <w:highlight w:val="non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黑体"/>
          <w:color w:val="000000"/>
          <w:sz w:val="32"/>
          <w:szCs w:val="32"/>
          <w:highlight w:val="none"/>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bookmarkStart w:id="71" w:name="_Toc27590_WPSOffice_Level1"/>
      <w:bookmarkStart w:id="72" w:name="_Toc4402_WPSOffice_Level1"/>
      <w:bookmarkStart w:id="73" w:name="_Toc31264_WPSOffice_Level1"/>
      <w:bookmarkStart w:id="74" w:name="_Toc16686_WPSOffice_Level1"/>
      <w:bookmarkStart w:id="75" w:name="_Toc29683_WPSOffice_Level1"/>
      <w:bookmarkStart w:id="76" w:name="_Toc28629_WPSOffice_Level1"/>
      <w:r>
        <w:rPr>
          <w:rFonts w:hint="eastAsia" w:ascii="黑体" w:hAnsi="ˎ̥" w:eastAsia="黑体"/>
          <w:color w:val="000000"/>
          <w:sz w:val="32"/>
          <w:szCs w:val="32"/>
          <w:highlight w:val="none"/>
        </w:rPr>
        <w:t>第三部分  2022年度部门决算情况说明</w:t>
      </w:r>
      <w:bookmarkEnd w:id="71"/>
      <w:bookmarkEnd w:id="72"/>
      <w:bookmarkEnd w:id="73"/>
      <w:bookmarkEnd w:id="74"/>
      <w:bookmarkEnd w:id="75"/>
      <w:bookmarkEnd w:id="76"/>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p>
    <w:p>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仿宋_GB2312" w:hAnsi="ˎ̥" w:eastAsia="仿宋_GB2312"/>
          <w:color w:val="000000"/>
          <w:sz w:val="32"/>
          <w:szCs w:val="32"/>
          <w:highlight w:val="none"/>
          <w:lang w:val="en-US"/>
        </w:rPr>
      </w:pPr>
      <w:r>
        <w:rPr>
          <w:rFonts w:hint="eastAsia" w:ascii="黑体" w:hAnsi="黑体" w:eastAsia="黑体" w:cs="黑体"/>
          <w:bCs/>
          <w:color w:val="000000"/>
          <w:sz w:val="32"/>
          <w:szCs w:val="32"/>
          <w:highlight w:val="none"/>
        </w:rPr>
        <w:t>收入支出总体情况说明</w:t>
      </w:r>
      <w:r>
        <w:rPr>
          <w:rFonts w:hint="eastAsia" w:ascii="黑体" w:hAnsi="黑体" w:eastAsia="黑体" w:cs="黑体"/>
          <w:bCs/>
          <w:color w:val="000000"/>
          <w:sz w:val="32"/>
          <w:szCs w:val="32"/>
          <w:highlight w:val="none"/>
        </w:rPr>
        <w:br w:type="textWrapping"/>
      </w:r>
      <w:r>
        <w:rPr>
          <w:rFonts w:hint="eastAsia" w:ascii="楷体_GB2312" w:hAnsi="ˎ̥" w:eastAsia="楷体_GB2312"/>
          <w:color w:val="000000"/>
          <w:sz w:val="32"/>
          <w:szCs w:val="32"/>
          <w:highlight w:val="none"/>
        </w:rPr>
        <w:t xml:space="preserve">    </w:t>
      </w:r>
      <w:r>
        <w:rPr>
          <w:rFonts w:hint="eastAsia" w:ascii="仿宋_GB2312" w:hAnsi="ˎ̥" w:eastAsia="仿宋_GB2312"/>
          <w:color w:val="000000"/>
          <w:sz w:val="32"/>
          <w:szCs w:val="32"/>
          <w:highlight w:val="none"/>
        </w:rPr>
        <w:t>2022年度收入总计126,283.71万元，支出总计114,657.20万元，与2021年度相比，收入</w:t>
      </w:r>
      <w:r>
        <w:rPr>
          <w:rFonts w:hint="eastAsia" w:ascii="仿宋_GB2312" w:hAnsi="ˎ̥" w:eastAsia="仿宋_GB2312"/>
          <w:color w:val="000000"/>
          <w:sz w:val="32"/>
          <w:szCs w:val="32"/>
          <w:highlight w:val="none"/>
          <w:lang w:eastAsia="zh-CN"/>
        </w:rPr>
        <w:t>、</w:t>
      </w:r>
      <w:r>
        <w:rPr>
          <w:rFonts w:hint="eastAsia" w:ascii="仿宋_GB2312" w:hAnsi="ˎ̥" w:eastAsia="仿宋_GB2312"/>
          <w:color w:val="000000"/>
          <w:sz w:val="32"/>
          <w:szCs w:val="32"/>
          <w:highlight w:val="none"/>
        </w:rPr>
        <w:t>支出总计</w:t>
      </w:r>
      <w:r>
        <w:rPr>
          <w:rFonts w:hint="eastAsia" w:ascii="仿宋_GB2312" w:hAnsi="ˎ̥" w:eastAsia="仿宋_GB2312"/>
          <w:color w:val="000000"/>
          <w:sz w:val="32"/>
          <w:szCs w:val="32"/>
          <w:highlight w:val="none"/>
          <w:lang w:eastAsia="zh-CN"/>
        </w:rPr>
        <w:t>各</w:t>
      </w:r>
      <w:r>
        <w:rPr>
          <w:rFonts w:hint="eastAsia" w:ascii="仿宋_GB2312" w:hAnsi="ˎ̥" w:eastAsia="仿宋_GB2312"/>
          <w:color w:val="000000"/>
          <w:sz w:val="32"/>
          <w:szCs w:val="32"/>
          <w:highlight w:val="none"/>
        </w:rPr>
        <w:t>增加</w:t>
      </w:r>
      <w:r>
        <w:rPr>
          <w:rFonts w:hint="eastAsia" w:ascii="仿宋_GB2312" w:hAnsi="ˎ̥" w:eastAsia="仿宋_GB2312"/>
          <w:color w:val="000000"/>
          <w:sz w:val="32"/>
          <w:szCs w:val="32"/>
          <w:highlight w:val="none"/>
          <w:lang w:val="en-US" w:eastAsia="zh-CN"/>
        </w:rPr>
        <w:t>2146.15</w:t>
      </w:r>
      <w:r>
        <w:rPr>
          <w:rFonts w:hint="eastAsia" w:ascii="仿宋_GB2312" w:hAnsi="ˎ̥" w:eastAsia="仿宋_GB2312"/>
          <w:color w:val="000000"/>
          <w:sz w:val="32"/>
          <w:szCs w:val="32"/>
          <w:highlight w:val="none"/>
        </w:rPr>
        <w:t>万元，增长</w:t>
      </w:r>
      <w:r>
        <w:rPr>
          <w:rFonts w:hint="eastAsia" w:ascii="仿宋_GB2312" w:hAnsi="ˎ̥" w:eastAsia="仿宋_GB2312"/>
          <w:color w:val="000000"/>
          <w:sz w:val="32"/>
          <w:szCs w:val="32"/>
          <w:highlight w:val="none"/>
          <w:lang w:val="en-US" w:eastAsia="zh-CN"/>
        </w:rPr>
        <w:t>1.7</w:t>
      </w:r>
      <w:r>
        <w:rPr>
          <w:rFonts w:hint="eastAsia" w:ascii="仿宋_GB2312" w:hAnsi="ˎ̥" w:eastAsia="仿宋_GB2312"/>
          <w:color w:val="000000"/>
          <w:sz w:val="32"/>
          <w:szCs w:val="32"/>
          <w:highlight w:val="none"/>
        </w:rPr>
        <w:t>%。主要原因：一是一般公共预算财政拨款收入</w:t>
      </w:r>
      <w:r>
        <w:rPr>
          <w:rFonts w:hint="eastAsia" w:ascii="仿宋_GB2312" w:hAnsi="ˎ̥" w:eastAsia="仿宋_GB2312"/>
          <w:color w:val="000000"/>
          <w:sz w:val="32"/>
          <w:szCs w:val="32"/>
          <w:highlight w:val="none"/>
          <w:lang w:eastAsia="zh-CN"/>
        </w:rPr>
        <w:t>增加</w:t>
      </w:r>
      <w:r>
        <w:rPr>
          <w:rFonts w:hint="eastAsia" w:ascii="仿宋_GB2312" w:hAnsi="ˎ̥" w:eastAsia="仿宋_GB2312"/>
          <w:color w:val="000000"/>
          <w:sz w:val="32"/>
          <w:szCs w:val="32"/>
          <w:highlight w:val="none"/>
          <w:lang w:val="en-US" w:eastAsia="zh-CN"/>
        </w:rPr>
        <w:t>7531.8万元</w:t>
      </w:r>
      <w:r>
        <w:rPr>
          <w:rFonts w:hint="eastAsia" w:ascii="仿宋_GB2312" w:hAnsi="ˎ̥" w:eastAsia="仿宋_GB2312"/>
          <w:color w:val="000000"/>
          <w:sz w:val="32"/>
          <w:szCs w:val="32"/>
          <w:highlight w:val="none"/>
        </w:rPr>
        <w:t>；二是政府性基金预算财政拨款收入</w:t>
      </w:r>
      <w:r>
        <w:rPr>
          <w:rFonts w:hint="eastAsia" w:ascii="仿宋_GB2312" w:hAnsi="ˎ̥" w:eastAsia="仿宋_GB2312"/>
          <w:color w:val="000000"/>
          <w:sz w:val="32"/>
          <w:szCs w:val="32"/>
          <w:highlight w:val="none"/>
          <w:lang w:eastAsia="zh-CN"/>
        </w:rPr>
        <w:t>增加</w:t>
      </w:r>
      <w:r>
        <w:rPr>
          <w:rFonts w:hint="eastAsia" w:ascii="仿宋_GB2312" w:hAnsi="ˎ̥" w:eastAsia="仿宋_GB2312"/>
          <w:color w:val="000000"/>
          <w:sz w:val="32"/>
          <w:szCs w:val="32"/>
          <w:highlight w:val="none"/>
          <w:lang w:val="en-US" w:eastAsia="zh-CN"/>
        </w:rPr>
        <w:t>5736.47万元；事业收入减少9597.09万元；其他收入减少342.05万元</w:t>
      </w:r>
      <w:r>
        <w:rPr>
          <w:rFonts w:hint="eastAsia" w:ascii="仿宋_GB2312" w:hAnsi="ˎ̥" w:eastAsia="仿宋_GB2312"/>
          <w:color w:val="000000"/>
          <w:sz w:val="32"/>
          <w:szCs w:val="32"/>
          <w:highlight w:val="none"/>
        </w:rPr>
        <w:t>。使用非财政拨款结余</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万元，较2021年度决算数减少</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w:t>
      </w:r>
      <w:r>
        <w:rPr>
          <w:rFonts w:hint="eastAsia" w:ascii="仿宋_GB2312" w:hAnsi="ˎ̥" w:eastAsia="仿宋_GB2312"/>
          <w:color w:val="000000"/>
          <w:sz w:val="32"/>
          <w:szCs w:val="32"/>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年初结转结余</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万元，较2021年度决算数</w:t>
      </w:r>
      <w:r>
        <w:rPr>
          <w:rFonts w:hint="eastAsia" w:ascii="仿宋_GB2312" w:hAnsi="ˎ̥" w:eastAsia="仿宋_GB2312"/>
          <w:color w:val="000000"/>
          <w:sz w:val="32"/>
          <w:szCs w:val="32"/>
          <w:highlight w:val="none"/>
          <w:lang w:eastAsia="zh-CN"/>
        </w:rPr>
        <w:t>减少</w:t>
      </w:r>
      <w:r>
        <w:rPr>
          <w:rFonts w:hint="eastAsia" w:ascii="仿宋_GB2312" w:hAnsi="ˎ̥" w:eastAsia="仿宋_GB2312"/>
          <w:color w:val="000000"/>
          <w:sz w:val="32"/>
          <w:szCs w:val="32"/>
          <w:highlight w:val="none"/>
          <w:lang w:val="en-US" w:eastAsia="zh-CN"/>
        </w:rPr>
        <w:t>1182.98</w:t>
      </w:r>
      <w:r>
        <w:rPr>
          <w:rFonts w:hint="eastAsia" w:ascii="仿宋_GB2312" w:hAnsi="ˎ̥" w:eastAsia="仿宋_GB2312"/>
          <w:color w:val="000000"/>
          <w:sz w:val="32"/>
          <w:szCs w:val="32"/>
          <w:highlight w:val="none"/>
        </w:rPr>
        <w:t>万元，下降</w:t>
      </w:r>
      <w:r>
        <w:rPr>
          <w:rFonts w:hint="eastAsia" w:ascii="仿宋_GB2312" w:hAnsi="ˎ̥" w:eastAsia="仿宋_GB2312"/>
          <w:color w:val="000000"/>
          <w:sz w:val="32"/>
          <w:szCs w:val="32"/>
          <w:highlight w:val="none"/>
          <w:lang w:val="en-US" w:eastAsia="zh-CN"/>
        </w:rPr>
        <w:t>100</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val="en-US" w:eastAsia="zh-CN"/>
        </w:rPr>
        <w:t>2022年年初无结转结余</w:t>
      </w:r>
      <w:r>
        <w:rPr>
          <w:rFonts w:hint="eastAsia" w:ascii="仿宋_GB2312" w:hAnsi="ˎ̥" w:eastAsia="仿宋_GB2312"/>
          <w:color w:val="000000"/>
          <w:sz w:val="32"/>
          <w:szCs w:val="32"/>
          <w:highlight w:val="none"/>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lang w:eastAsia="zh-CN"/>
        </w:rPr>
      </w:pPr>
      <w:r>
        <w:rPr>
          <w:rFonts w:hint="eastAsia" w:ascii="仿宋_GB2312" w:hAnsi="ˎ̥" w:eastAsia="仿宋_GB2312"/>
          <w:color w:val="000000"/>
          <w:sz w:val="32"/>
          <w:szCs w:val="32"/>
          <w:highlight w:val="none"/>
        </w:rPr>
        <w:t>年末结转结余</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万元，较2021年度决算数增加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万元，增长</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val="en-US" w:eastAsia="zh-CN"/>
        </w:rPr>
        <w:t>2022年</w:t>
      </w:r>
      <w:r>
        <w:rPr>
          <w:rFonts w:hint="eastAsia" w:ascii="仿宋_GB2312" w:hAnsi="ˎ̥" w:eastAsia="仿宋_GB2312"/>
          <w:color w:val="000000"/>
          <w:sz w:val="32"/>
          <w:szCs w:val="32"/>
          <w:highlight w:val="none"/>
        </w:rPr>
        <w:t>年末</w:t>
      </w:r>
      <w:r>
        <w:rPr>
          <w:rFonts w:hint="eastAsia" w:ascii="仿宋_GB2312" w:hAnsi="ˎ̥" w:eastAsia="仿宋_GB2312"/>
          <w:color w:val="000000"/>
          <w:sz w:val="32"/>
          <w:szCs w:val="32"/>
          <w:highlight w:val="none"/>
          <w:lang w:eastAsia="zh-CN"/>
        </w:rPr>
        <w:t>无</w:t>
      </w:r>
      <w:r>
        <w:rPr>
          <w:rFonts w:hint="eastAsia" w:ascii="仿宋_GB2312" w:hAnsi="ˎ̥" w:eastAsia="仿宋_GB2312"/>
          <w:color w:val="000000"/>
          <w:sz w:val="32"/>
          <w:szCs w:val="32"/>
          <w:highlight w:val="none"/>
        </w:rPr>
        <w:t>结转结余</w:t>
      </w:r>
      <w:r>
        <w:rPr>
          <w:rFonts w:hint="eastAsia" w:ascii="仿宋_GB2312" w:hAnsi="ˎ̥" w:eastAsia="仿宋_GB2312"/>
          <w:color w:val="000000"/>
          <w:sz w:val="32"/>
          <w:szCs w:val="32"/>
          <w:highlight w:val="none"/>
          <w:lang w:eastAsia="zh-CN"/>
        </w:rPr>
        <w:t>。</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ˎ̥" w:eastAsia="仿宋_GB2312"/>
          <w:color w:val="000000"/>
          <w:sz w:val="32"/>
          <w:szCs w:val="32"/>
          <w:highlight w:val="none"/>
        </w:rPr>
      </w:pPr>
      <w:r>
        <w:rPr>
          <w:rFonts w:hint="eastAsia" w:ascii="黑体" w:hAnsi="黑体" w:eastAsia="黑体" w:cs="黑体"/>
          <w:bCs/>
          <w:color w:val="000000"/>
          <w:sz w:val="32"/>
          <w:szCs w:val="32"/>
          <w:highlight w:val="none"/>
        </w:rPr>
        <w:t>收入决算情况说明</w:t>
      </w:r>
      <w:r>
        <w:rPr>
          <w:rFonts w:hint="eastAsia" w:ascii="黑体" w:hAnsi="黑体" w:eastAsia="黑体" w:cs="黑体"/>
          <w:bCs/>
          <w:color w:val="000000"/>
          <w:sz w:val="32"/>
          <w:szCs w:val="32"/>
          <w:highlight w:val="none"/>
        </w:rPr>
        <w:br w:type="textWrapping"/>
      </w:r>
      <w:r>
        <w:rPr>
          <w:rFonts w:hint="eastAsia" w:ascii="仿宋_GB2312" w:hAnsi="ˎ̥" w:eastAsia="仿宋_GB2312"/>
          <w:color w:val="000000"/>
          <w:sz w:val="32"/>
          <w:szCs w:val="32"/>
          <w:highlight w:val="none"/>
        </w:rPr>
        <w:t xml:space="preserve">    本年收入合计126,283.71万元，其中：财政拨款收入38,894.91万元，占</w:t>
      </w:r>
      <w:r>
        <w:rPr>
          <w:rFonts w:hint="eastAsia" w:ascii="仿宋_GB2312" w:hAnsi="ˎ̥" w:eastAsia="仿宋_GB2312"/>
          <w:color w:val="000000"/>
          <w:sz w:val="32"/>
          <w:szCs w:val="32"/>
          <w:highlight w:val="none"/>
          <w:lang w:val="en-US" w:eastAsia="zh-CN"/>
        </w:rPr>
        <w:t>30.8</w:t>
      </w:r>
      <w:r>
        <w:rPr>
          <w:rFonts w:hint="eastAsia" w:ascii="仿宋_GB2312" w:hAnsi="ˎ̥" w:eastAsia="仿宋_GB2312"/>
          <w:color w:val="000000"/>
          <w:sz w:val="32"/>
          <w:szCs w:val="32"/>
          <w:highlight w:val="none"/>
        </w:rPr>
        <w:t>%；上级补助收入</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r>
        <w:rPr>
          <w:rFonts w:hint="eastAsia" w:ascii="仿宋_GB2312" w:hAnsi="ˎ̥" w:eastAsia="仿宋_GB2312"/>
          <w:color w:val="000000"/>
          <w:sz w:val="32"/>
          <w:szCs w:val="32"/>
          <w:highlight w:val="none"/>
          <w:lang w:eastAsia="zh-CN"/>
        </w:rPr>
        <w:t>；</w:t>
      </w:r>
      <w:r>
        <w:rPr>
          <w:rFonts w:hint="eastAsia" w:ascii="仿宋_GB2312" w:hAnsi="ˎ̥" w:eastAsia="仿宋_GB2312"/>
          <w:color w:val="000000"/>
          <w:sz w:val="32"/>
          <w:szCs w:val="32"/>
          <w:highlight w:val="none"/>
        </w:rPr>
        <w:t>事业收入86,993.95万元，占</w:t>
      </w:r>
      <w:r>
        <w:rPr>
          <w:rFonts w:hint="eastAsia" w:ascii="仿宋_GB2312" w:hAnsi="ˎ̥" w:eastAsia="仿宋_GB2312"/>
          <w:color w:val="000000"/>
          <w:sz w:val="32"/>
          <w:szCs w:val="32"/>
          <w:highlight w:val="none"/>
          <w:lang w:val="en-US" w:eastAsia="zh-CN"/>
        </w:rPr>
        <w:t>68.9</w:t>
      </w:r>
      <w:r>
        <w:rPr>
          <w:rFonts w:hint="eastAsia" w:ascii="仿宋_GB2312" w:hAnsi="ˎ̥" w:eastAsia="仿宋_GB2312"/>
          <w:color w:val="000000"/>
          <w:sz w:val="32"/>
          <w:szCs w:val="32"/>
          <w:highlight w:val="none"/>
        </w:rPr>
        <w:t>%</w:t>
      </w:r>
      <w:r>
        <w:rPr>
          <w:rFonts w:hint="eastAsia" w:ascii="仿宋_GB2312" w:hAnsi="ˎ̥" w:eastAsia="仿宋_GB2312"/>
          <w:color w:val="000000"/>
          <w:sz w:val="32"/>
          <w:szCs w:val="32"/>
          <w:highlight w:val="none"/>
          <w:lang w:eastAsia="zh-CN"/>
        </w:rPr>
        <w:t>；</w:t>
      </w:r>
      <w:r>
        <w:rPr>
          <w:rFonts w:hint="eastAsia" w:ascii="仿宋_GB2312" w:hAnsi="ˎ̥" w:eastAsia="仿宋_GB2312"/>
          <w:color w:val="000000"/>
          <w:sz w:val="32"/>
          <w:szCs w:val="32"/>
          <w:highlight w:val="none"/>
        </w:rPr>
        <w:t>经营收入</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r>
        <w:rPr>
          <w:rFonts w:hint="eastAsia" w:ascii="仿宋_GB2312" w:hAnsi="ˎ̥" w:eastAsia="仿宋_GB2312"/>
          <w:color w:val="000000"/>
          <w:sz w:val="32"/>
          <w:szCs w:val="32"/>
          <w:highlight w:val="none"/>
          <w:lang w:eastAsia="zh-CN"/>
        </w:rPr>
        <w:t>；</w:t>
      </w:r>
      <w:r>
        <w:rPr>
          <w:rFonts w:hint="eastAsia" w:ascii="仿宋_GB2312" w:hAnsi="ˎ̥" w:eastAsia="仿宋_GB2312"/>
          <w:color w:val="000000"/>
          <w:sz w:val="32"/>
          <w:szCs w:val="32"/>
          <w:highlight w:val="none"/>
        </w:rPr>
        <w:t>附属单位上缴收入</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%；其他收入394.86万元，占</w:t>
      </w:r>
      <w:r>
        <w:rPr>
          <w:rFonts w:hint="eastAsia" w:ascii="仿宋_GB2312" w:hAnsi="ˎ̥" w:eastAsia="仿宋_GB2312"/>
          <w:color w:val="000000"/>
          <w:sz w:val="32"/>
          <w:szCs w:val="32"/>
          <w:highlight w:val="none"/>
          <w:lang w:val="en-US" w:eastAsia="zh-CN"/>
        </w:rPr>
        <w:t>0.3</w:t>
      </w:r>
      <w:r>
        <w:rPr>
          <w:rFonts w:hint="eastAsia" w:ascii="仿宋_GB2312" w:hAnsi="ˎ̥" w:eastAsia="仿宋_GB2312"/>
          <w:color w:val="000000"/>
          <w:sz w:val="32"/>
          <w:szCs w:val="32"/>
          <w:highlight w:val="none"/>
        </w:rPr>
        <w:t>%。</w:t>
      </w:r>
    </w:p>
    <w:p>
      <w:pPr>
        <w:keepNext w:val="0"/>
        <w:keepLines w:val="0"/>
        <w:pageBreakBefore w:val="0"/>
        <w:numPr>
          <w:numId w:val="0"/>
        </w:numPr>
        <w:kinsoku/>
        <w:wordWrap/>
        <w:overflowPunct/>
        <w:topLinePunct w:val="0"/>
        <w:autoSpaceDE/>
        <w:autoSpaceDN/>
        <w:bidi w:val="0"/>
        <w:adjustRightInd/>
        <w:snapToGrid/>
        <w:spacing w:line="560" w:lineRule="exact"/>
        <w:ind w:leftChars="200"/>
        <w:textAlignment w:val="auto"/>
        <w:rPr>
          <w:rFonts w:hint="eastAsia" w:ascii="仿宋_GB2312" w:hAnsi="ˎ̥" w:eastAsia="仿宋_GB2312"/>
          <w:color w:val="000000"/>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三、支出决算情况说明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本年支出合计114,657.20万元，其中：基本支出75,762.30万元，占</w:t>
      </w:r>
      <w:r>
        <w:rPr>
          <w:rFonts w:hint="eastAsia" w:ascii="仿宋_GB2312" w:hAnsi="ˎ̥" w:eastAsia="仿宋_GB2312"/>
          <w:color w:val="000000"/>
          <w:sz w:val="32"/>
          <w:szCs w:val="32"/>
          <w:highlight w:val="none"/>
          <w:lang w:val="en-US" w:eastAsia="zh-CN"/>
        </w:rPr>
        <w:t>66.1</w:t>
      </w:r>
      <w:r>
        <w:rPr>
          <w:rFonts w:hint="eastAsia" w:ascii="仿宋_GB2312" w:hAnsi="ˎ̥" w:eastAsia="仿宋_GB2312"/>
          <w:color w:val="000000"/>
          <w:sz w:val="32"/>
          <w:szCs w:val="32"/>
          <w:highlight w:val="none"/>
        </w:rPr>
        <w:t>%；项目支出38,894.91万元，占</w:t>
      </w:r>
      <w:r>
        <w:rPr>
          <w:rFonts w:hint="eastAsia" w:ascii="仿宋_GB2312" w:hAnsi="ˎ̥" w:eastAsia="仿宋_GB2312"/>
          <w:color w:val="000000"/>
          <w:sz w:val="32"/>
          <w:szCs w:val="32"/>
          <w:highlight w:val="none"/>
          <w:lang w:val="en-US" w:eastAsia="zh-CN"/>
        </w:rPr>
        <w:t>33.9</w:t>
      </w:r>
      <w:r>
        <w:rPr>
          <w:rFonts w:hint="eastAsia" w:ascii="仿宋_GB2312" w:hAnsi="ˎ̥" w:eastAsia="仿宋_GB2312"/>
          <w:color w:val="000000"/>
          <w:sz w:val="32"/>
          <w:szCs w:val="32"/>
          <w:highlight w:val="none"/>
        </w:rPr>
        <w:t>%；上缴上级支出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%；经营支出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%；对附属单位补助支出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四、财政拨款收入支出决算总体情况说明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2022年度财政拨款收入</w:t>
      </w:r>
      <w:r>
        <w:rPr>
          <w:rFonts w:hint="eastAsia" w:ascii="仿宋_GB2312" w:hAnsi="ˎ̥" w:eastAsia="仿宋_GB2312"/>
          <w:color w:val="000000"/>
          <w:sz w:val="32"/>
          <w:szCs w:val="32"/>
          <w:highlight w:val="none"/>
          <w:lang w:val="en-US" w:eastAsia="zh-CN"/>
        </w:rPr>
        <w:t>38894.91</w:t>
      </w:r>
      <w:r>
        <w:rPr>
          <w:rFonts w:hint="eastAsia" w:ascii="仿宋_GB2312" w:hAnsi="ˎ̥" w:eastAsia="仿宋_GB2312"/>
          <w:color w:val="000000"/>
          <w:sz w:val="32"/>
          <w:szCs w:val="32"/>
          <w:highlight w:val="none"/>
        </w:rPr>
        <w:t>万元，支出</w:t>
      </w:r>
      <w:r>
        <w:rPr>
          <w:rFonts w:hint="eastAsia" w:ascii="仿宋_GB2312" w:hAnsi="ˎ̥" w:eastAsia="仿宋_GB2312"/>
          <w:color w:val="000000"/>
          <w:sz w:val="32"/>
          <w:szCs w:val="32"/>
          <w:highlight w:val="none"/>
          <w:lang w:val="en-US" w:eastAsia="zh-CN"/>
        </w:rPr>
        <w:t>38894.91</w:t>
      </w:r>
      <w:r>
        <w:rPr>
          <w:rFonts w:hint="eastAsia" w:ascii="仿宋_GB2312" w:hAnsi="ˎ̥" w:eastAsia="仿宋_GB2312"/>
          <w:color w:val="000000"/>
          <w:sz w:val="32"/>
          <w:szCs w:val="32"/>
          <w:highlight w:val="none"/>
        </w:rPr>
        <w:t>万元。与2021年度相比，财政拨款收入、支出各增加</w:t>
      </w:r>
      <w:r>
        <w:rPr>
          <w:rFonts w:hint="eastAsia" w:ascii="仿宋_GB2312" w:hAnsi="ˎ̥" w:eastAsia="仿宋_GB2312"/>
          <w:color w:val="000000"/>
          <w:sz w:val="32"/>
          <w:szCs w:val="32"/>
          <w:highlight w:val="none"/>
          <w:lang w:val="en-US" w:eastAsia="zh-CN"/>
        </w:rPr>
        <w:t>13268.27</w:t>
      </w:r>
      <w:r>
        <w:rPr>
          <w:rFonts w:hint="eastAsia" w:ascii="仿宋_GB2312" w:hAnsi="ˎ̥" w:eastAsia="仿宋_GB2312"/>
          <w:color w:val="000000"/>
          <w:sz w:val="32"/>
          <w:szCs w:val="32"/>
          <w:highlight w:val="none"/>
        </w:rPr>
        <w:t>万元，增长</w:t>
      </w:r>
      <w:r>
        <w:rPr>
          <w:rFonts w:hint="eastAsia" w:ascii="仿宋_GB2312" w:hAnsi="ˎ̥" w:eastAsia="仿宋_GB2312"/>
          <w:color w:val="000000"/>
          <w:sz w:val="32"/>
          <w:szCs w:val="32"/>
          <w:highlight w:val="none"/>
          <w:lang w:val="en-US" w:eastAsia="zh-CN"/>
        </w:rPr>
        <w:t>51.78</w:t>
      </w:r>
      <w:r>
        <w:rPr>
          <w:rFonts w:hint="eastAsia" w:ascii="仿宋_GB2312" w:hAnsi="ˎ̥" w:eastAsia="仿宋_GB2312"/>
          <w:color w:val="000000"/>
          <w:sz w:val="32"/>
          <w:szCs w:val="32"/>
          <w:highlight w:val="none"/>
        </w:rPr>
        <w:t>%。主要原因：一是</w:t>
      </w:r>
      <w:r>
        <w:rPr>
          <w:rFonts w:hint="eastAsia" w:ascii="宋体" w:hAnsi="宋体" w:eastAsia="宋体" w:cs="宋体"/>
          <w:color w:val="000000"/>
          <w:sz w:val="32"/>
          <w:szCs w:val="32"/>
          <w:highlight w:val="none"/>
        </w:rPr>
        <w:t>一般公共预算财政拨款</w:t>
      </w:r>
      <w:r>
        <w:rPr>
          <w:rFonts w:hint="eastAsia" w:ascii="宋体" w:hAnsi="宋体" w:eastAsia="宋体" w:cs="宋体"/>
          <w:color w:val="000000"/>
          <w:sz w:val="32"/>
          <w:szCs w:val="32"/>
          <w:highlight w:val="none"/>
          <w:lang w:eastAsia="zh-CN"/>
        </w:rPr>
        <w:t>增加</w:t>
      </w:r>
      <w:r>
        <w:rPr>
          <w:rFonts w:hint="eastAsia" w:ascii="宋体" w:hAnsi="宋体" w:eastAsia="宋体" w:cs="宋体"/>
          <w:color w:val="000000"/>
          <w:sz w:val="32"/>
          <w:szCs w:val="32"/>
          <w:highlight w:val="none"/>
          <w:lang w:val="en-US" w:eastAsia="zh-CN"/>
        </w:rPr>
        <w:t>7531.80万元；其中：</w:t>
      </w:r>
      <w:r>
        <w:rPr>
          <w:rFonts w:hint="eastAsia" w:ascii="仿宋_GB2312" w:hAnsi="ˎ̥" w:eastAsia="仿宋_GB2312"/>
          <w:color w:val="000000"/>
          <w:sz w:val="32"/>
          <w:szCs w:val="32"/>
          <w:highlight w:val="none"/>
        </w:rPr>
        <w:t>机关事业单位基本养老保险缴费支出</w:t>
      </w:r>
      <w:r>
        <w:rPr>
          <w:rFonts w:hint="eastAsia" w:ascii="宋体" w:hAnsi="宋体" w:eastAsia="宋体" w:cs="宋体"/>
          <w:color w:val="000000"/>
          <w:sz w:val="32"/>
          <w:szCs w:val="32"/>
          <w:highlight w:val="none"/>
          <w:lang w:eastAsia="zh-CN"/>
        </w:rPr>
        <w:t>及职业年金支出增加</w:t>
      </w:r>
      <w:r>
        <w:rPr>
          <w:rFonts w:hint="eastAsia" w:ascii="宋体" w:hAnsi="宋体" w:eastAsia="宋体" w:cs="宋体"/>
          <w:color w:val="000000"/>
          <w:sz w:val="32"/>
          <w:szCs w:val="32"/>
          <w:highlight w:val="none"/>
          <w:lang w:val="en-US" w:eastAsia="zh-CN"/>
        </w:rPr>
        <w:t>557.08万元、卫生健康支出增加9161.53万元、城乡社区支出减少2186.79万元</w:t>
      </w:r>
      <w:r>
        <w:rPr>
          <w:rFonts w:hint="eastAsia" w:ascii="仿宋_GB2312" w:hAnsi="ˎ̥" w:eastAsia="仿宋_GB2312"/>
          <w:color w:val="000000"/>
          <w:sz w:val="32"/>
          <w:szCs w:val="32"/>
          <w:highlight w:val="none"/>
        </w:rPr>
        <w:t>。二是</w:t>
      </w:r>
      <w:r>
        <w:rPr>
          <w:rFonts w:hint="eastAsia" w:ascii="宋体" w:hAnsi="宋体" w:eastAsia="宋体"/>
          <w:sz w:val="32"/>
          <w:szCs w:val="32"/>
        </w:rPr>
        <w:t>政府性基金预算财政拨款收入</w:t>
      </w:r>
      <w:r>
        <w:rPr>
          <w:rFonts w:hint="eastAsia" w:ascii="宋体" w:hAnsi="宋体" w:eastAsia="宋体"/>
          <w:sz w:val="32"/>
          <w:szCs w:val="32"/>
          <w:lang w:eastAsia="zh-CN"/>
        </w:rPr>
        <w:t>增加</w:t>
      </w:r>
      <w:r>
        <w:rPr>
          <w:rFonts w:hint="eastAsia" w:ascii="宋体" w:hAnsi="宋体" w:eastAsia="宋体"/>
          <w:sz w:val="32"/>
          <w:szCs w:val="32"/>
          <w:lang w:val="en-US" w:eastAsia="zh-CN"/>
        </w:rPr>
        <w:t>5736.47万元</w:t>
      </w:r>
      <w:r>
        <w:rPr>
          <w:rFonts w:hint="eastAsia" w:ascii="仿宋_GB2312" w:hAnsi="ˎ̥" w:eastAsia="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u w:val="none"/>
        </w:rPr>
        <w:t>与2021年度相比，支出</w:t>
      </w:r>
      <w:r>
        <w:rPr>
          <w:rFonts w:hint="eastAsia" w:ascii="仿宋_GB2312" w:hAnsi="ˎ̥" w:eastAsia="仿宋_GB2312"/>
          <w:color w:val="000000"/>
          <w:sz w:val="32"/>
          <w:szCs w:val="32"/>
          <w:highlight w:val="none"/>
          <w:u w:val="none"/>
          <w:lang w:eastAsia="zh-CN"/>
        </w:rPr>
        <w:t>增加了</w:t>
      </w:r>
      <w:r>
        <w:rPr>
          <w:rFonts w:hint="eastAsia" w:ascii="仿宋_GB2312" w:hAnsi="ˎ̥" w:eastAsia="仿宋_GB2312"/>
          <w:color w:val="000000"/>
          <w:sz w:val="32"/>
          <w:szCs w:val="32"/>
          <w:highlight w:val="none"/>
          <w:u w:val="none"/>
          <w:lang w:val="en-US" w:eastAsia="zh-CN"/>
        </w:rPr>
        <w:t>12085.30万元，</w:t>
      </w:r>
      <w:r>
        <w:rPr>
          <w:rFonts w:hint="eastAsia" w:ascii="宋体" w:hAnsi="宋体" w:eastAsia="宋体" w:cs="宋体"/>
          <w:color w:val="000000"/>
          <w:sz w:val="32"/>
          <w:szCs w:val="32"/>
          <w:highlight w:val="none"/>
          <w:u w:val="none"/>
          <w:lang w:val="en-US" w:eastAsia="zh-CN"/>
        </w:rPr>
        <w:t>其中：一是</w:t>
      </w:r>
      <w:r>
        <w:rPr>
          <w:rFonts w:hint="eastAsia" w:ascii="宋体" w:hAnsi="宋体" w:eastAsia="宋体" w:cs="宋体"/>
          <w:color w:val="000000"/>
          <w:sz w:val="32"/>
          <w:szCs w:val="32"/>
          <w:highlight w:val="none"/>
          <w:u w:val="none"/>
        </w:rPr>
        <w:t>一般公共预算财政拨款机关事业单位基本养老保险缴费支出</w:t>
      </w:r>
      <w:r>
        <w:rPr>
          <w:rFonts w:hint="eastAsia" w:ascii="宋体" w:hAnsi="宋体" w:eastAsia="宋体" w:cs="宋体"/>
          <w:color w:val="000000"/>
          <w:sz w:val="32"/>
          <w:szCs w:val="32"/>
          <w:highlight w:val="none"/>
          <w:u w:val="none"/>
          <w:lang w:eastAsia="zh-CN"/>
        </w:rPr>
        <w:t>及职业年</w:t>
      </w:r>
      <w:r>
        <w:rPr>
          <w:rFonts w:hint="eastAsia" w:ascii="宋体" w:hAnsi="宋体" w:eastAsia="宋体" w:cs="宋体"/>
          <w:color w:val="000000"/>
          <w:sz w:val="32"/>
          <w:szCs w:val="32"/>
          <w:highlight w:val="none"/>
          <w:lang w:eastAsia="zh-CN"/>
        </w:rPr>
        <w:t>金支出增加</w:t>
      </w:r>
      <w:r>
        <w:rPr>
          <w:rFonts w:hint="eastAsia" w:ascii="宋体" w:hAnsi="宋体" w:eastAsia="宋体" w:cs="宋体"/>
          <w:color w:val="000000"/>
          <w:sz w:val="32"/>
          <w:szCs w:val="32"/>
          <w:highlight w:val="none"/>
          <w:lang w:val="en-US" w:eastAsia="zh-CN"/>
        </w:rPr>
        <w:t>539.28万元、卫生健康支出增加8575.74万元、城乡社区支出减少2186.79万元</w:t>
      </w:r>
      <w:r>
        <w:rPr>
          <w:rFonts w:hint="eastAsia" w:ascii="仿宋_GB2312" w:hAnsi="ˎ̥" w:eastAsia="仿宋_GB2312"/>
          <w:color w:val="000000"/>
          <w:sz w:val="32"/>
          <w:szCs w:val="32"/>
          <w:highlight w:val="none"/>
        </w:rPr>
        <w:t>；</w:t>
      </w:r>
      <w:r>
        <w:rPr>
          <w:rFonts w:hint="eastAsia" w:ascii="宋体" w:hAnsi="宋体" w:eastAsia="宋体" w:cs="宋体"/>
          <w:color w:val="000000"/>
          <w:sz w:val="32"/>
          <w:szCs w:val="32"/>
          <w:highlight w:val="none"/>
          <w:lang w:val="en-US" w:eastAsia="zh-CN"/>
        </w:rPr>
        <w:t>二</w:t>
      </w:r>
      <w:r>
        <w:rPr>
          <w:rFonts w:hint="eastAsia" w:ascii="仿宋_GB2312" w:hAnsi="ˎ̥" w:eastAsia="仿宋_GB2312"/>
          <w:color w:val="000000"/>
          <w:sz w:val="32"/>
          <w:szCs w:val="32"/>
          <w:highlight w:val="none"/>
        </w:rPr>
        <w:t>是</w:t>
      </w:r>
      <w:r>
        <w:rPr>
          <w:rFonts w:hint="eastAsia" w:ascii="宋体" w:hAnsi="宋体" w:eastAsia="宋体"/>
          <w:sz w:val="32"/>
          <w:szCs w:val="32"/>
        </w:rPr>
        <w:t>政府性基金预算财政拨款</w:t>
      </w:r>
      <w:r>
        <w:rPr>
          <w:rFonts w:hint="eastAsia" w:ascii="宋体" w:hAnsi="宋体" w:eastAsia="宋体"/>
          <w:sz w:val="32"/>
          <w:szCs w:val="32"/>
          <w:lang w:eastAsia="zh-CN"/>
        </w:rPr>
        <w:t>支出增加</w:t>
      </w:r>
      <w:r>
        <w:rPr>
          <w:rFonts w:hint="eastAsia" w:ascii="宋体" w:hAnsi="宋体" w:eastAsia="宋体"/>
          <w:sz w:val="32"/>
          <w:szCs w:val="32"/>
          <w:lang w:val="en-US" w:eastAsia="zh-CN"/>
        </w:rPr>
        <w:t>5157.07万元</w:t>
      </w:r>
      <w:r>
        <w:rPr>
          <w:rFonts w:hint="eastAsia" w:ascii="仿宋_GB2312" w:hAnsi="ˎ̥" w:eastAsia="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lang w:val="en-US" w:eastAsia="zh-CN"/>
        </w:rPr>
      </w:pPr>
      <w:r>
        <w:rPr>
          <w:rFonts w:hint="eastAsia" w:ascii="仿宋_GB2312" w:hAnsi="ˎ̥" w:eastAsia="仿宋_GB2312"/>
          <w:color w:val="000000"/>
          <w:sz w:val="32"/>
          <w:szCs w:val="32"/>
          <w:highlight w:val="none"/>
        </w:rPr>
        <w:t>财政拨款年初结转结余</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万元，较2021年度决算数减少</w:t>
      </w:r>
      <w:r>
        <w:rPr>
          <w:rFonts w:hint="eastAsia" w:ascii="仿宋_GB2312" w:hAnsi="ˎ̥" w:eastAsia="仿宋_GB2312"/>
          <w:color w:val="000000"/>
          <w:sz w:val="32"/>
          <w:szCs w:val="32"/>
          <w:highlight w:val="none"/>
          <w:lang w:val="en-US" w:eastAsia="zh-CN"/>
        </w:rPr>
        <w:t>1182.98</w:t>
      </w:r>
      <w:r>
        <w:rPr>
          <w:rFonts w:hint="eastAsia" w:ascii="仿宋_GB2312" w:hAnsi="ˎ̥" w:eastAsia="仿宋_GB2312"/>
          <w:color w:val="000000"/>
          <w:sz w:val="32"/>
          <w:szCs w:val="32"/>
          <w:highlight w:val="none"/>
        </w:rPr>
        <w:t>万元，下降</w:t>
      </w:r>
      <w:r>
        <w:rPr>
          <w:rFonts w:hint="eastAsia" w:ascii="仿宋_GB2312" w:hAnsi="ˎ̥" w:eastAsia="仿宋_GB2312"/>
          <w:color w:val="000000"/>
          <w:sz w:val="32"/>
          <w:szCs w:val="32"/>
          <w:highlight w:val="none"/>
          <w:lang w:val="en-US" w:eastAsia="zh-CN"/>
        </w:rPr>
        <w:t>100</w:t>
      </w:r>
      <w:r>
        <w:rPr>
          <w:rFonts w:hint="eastAsia" w:ascii="仿宋_GB2312" w:hAnsi="ˎ̥" w:eastAsia="仿宋_GB2312"/>
          <w:color w:val="000000"/>
          <w:sz w:val="32"/>
          <w:szCs w:val="32"/>
          <w:highlight w:val="none"/>
        </w:rPr>
        <w:t>%</w:t>
      </w:r>
      <w:r>
        <w:rPr>
          <w:rFonts w:hint="eastAsia" w:ascii="仿宋_GB2312" w:hAnsi="ˎ̥" w:eastAsia="仿宋_GB2312"/>
          <w:color w:val="000000"/>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财政拨款年末结转结余</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万元，较2021年度年末数增加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万元，增长</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五、一般公共预算财政拨款支出决算情况说明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bookmarkStart w:id="77" w:name="_Toc13694_WPSOffice_Level2"/>
      <w:bookmarkStart w:id="78" w:name="_Toc17398_WPSOffice_Level2"/>
      <w:bookmarkStart w:id="79" w:name="_Toc23005_WPSOffice_Level2"/>
      <w:bookmarkStart w:id="80" w:name="_Toc9989_WPSOffice_Level2"/>
      <w:bookmarkStart w:id="81" w:name="_Toc21737_WPSOffice_Level2"/>
      <w:bookmarkStart w:id="82" w:name="_Toc19665_WPSOffice_Level2"/>
      <w:r>
        <w:rPr>
          <w:rFonts w:hint="eastAsia" w:ascii="楷体" w:hAnsi="楷体" w:eastAsia="楷体" w:cs="楷体"/>
          <w:color w:val="000000"/>
          <w:sz w:val="32"/>
          <w:szCs w:val="32"/>
          <w:highlight w:val="none"/>
        </w:rPr>
        <w:t>（一）一般公共预算财政拨款支出决算总体情况</w:t>
      </w:r>
      <w:bookmarkEnd w:id="77"/>
      <w:bookmarkEnd w:id="78"/>
      <w:r>
        <w:rPr>
          <w:rFonts w:hint="eastAsia" w:ascii="楷体" w:hAnsi="楷体" w:eastAsia="楷体" w:cs="楷体"/>
          <w:color w:val="000000"/>
          <w:sz w:val="32"/>
          <w:szCs w:val="32"/>
          <w:highlight w:val="none"/>
        </w:rPr>
        <w:t>。</w:t>
      </w:r>
      <w:bookmarkEnd w:id="79"/>
      <w:bookmarkEnd w:id="80"/>
      <w:bookmarkEnd w:id="81"/>
      <w:bookmarkEnd w:id="82"/>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color w:val="000000"/>
          <w:sz w:val="32"/>
          <w:szCs w:val="32"/>
          <w:highlight w:val="none"/>
        </w:rPr>
        <w:t>2022年度一般公共预算财政拨款支出</w:t>
      </w:r>
      <w:r>
        <w:rPr>
          <w:rFonts w:hint="eastAsia" w:ascii="仿宋_GB2312" w:hAnsi="ˎ̥" w:eastAsia="仿宋_GB2312"/>
          <w:color w:val="000000"/>
          <w:sz w:val="32"/>
          <w:szCs w:val="32"/>
          <w:highlight w:val="none"/>
          <w:lang w:val="en-US" w:eastAsia="zh-CN"/>
        </w:rPr>
        <w:t>20296.55</w:t>
      </w:r>
      <w:r>
        <w:rPr>
          <w:rFonts w:hint="eastAsia" w:ascii="仿宋_GB2312" w:hAnsi="ˎ̥" w:eastAsia="仿宋_GB2312"/>
          <w:color w:val="000000"/>
          <w:sz w:val="32"/>
          <w:szCs w:val="32"/>
          <w:highlight w:val="none"/>
        </w:rPr>
        <w:t>万元，占本年支出合计的</w:t>
      </w:r>
      <w:r>
        <w:rPr>
          <w:rFonts w:hint="eastAsia" w:ascii="仿宋_GB2312" w:hAnsi="ˎ̥" w:eastAsia="仿宋_GB2312"/>
          <w:color w:val="000000"/>
          <w:sz w:val="32"/>
          <w:szCs w:val="32"/>
          <w:highlight w:val="none"/>
          <w:lang w:val="en-US" w:eastAsia="zh-CN"/>
        </w:rPr>
        <w:t>17.70</w:t>
      </w:r>
      <w:r>
        <w:rPr>
          <w:rFonts w:hint="eastAsia" w:ascii="仿宋_GB2312" w:hAnsi="ˎ̥" w:eastAsia="仿宋_GB2312"/>
          <w:color w:val="000000"/>
          <w:sz w:val="32"/>
          <w:szCs w:val="32"/>
          <w:highlight w:val="none"/>
        </w:rPr>
        <w:t>%。与2021年度相比，一般公共预算财政拨款支出</w:t>
      </w:r>
      <w:r>
        <w:rPr>
          <w:rFonts w:hint="eastAsia" w:ascii="仿宋_GB2312" w:hAnsi="ˎ̥" w:eastAsia="仿宋_GB2312"/>
          <w:color w:val="000000"/>
          <w:sz w:val="32"/>
          <w:szCs w:val="32"/>
          <w:highlight w:val="none"/>
          <w:lang w:eastAsia="zh-CN"/>
        </w:rPr>
        <w:t>增加</w:t>
      </w:r>
      <w:r>
        <w:rPr>
          <w:rFonts w:hint="eastAsia" w:ascii="仿宋_GB2312" w:hAnsi="ˎ̥" w:eastAsia="仿宋_GB2312"/>
          <w:color w:val="000000"/>
          <w:sz w:val="32"/>
          <w:szCs w:val="32"/>
          <w:highlight w:val="none"/>
          <w:lang w:val="en-US" w:eastAsia="zh-CN"/>
        </w:rPr>
        <w:t>6928.22</w:t>
      </w:r>
      <w:r>
        <w:rPr>
          <w:rFonts w:hint="eastAsia" w:ascii="仿宋_GB2312" w:hAnsi="ˎ̥" w:eastAsia="仿宋_GB2312"/>
          <w:color w:val="000000"/>
          <w:sz w:val="32"/>
          <w:szCs w:val="32"/>
          <w:highlight w:val="none"/>
        </w:rPr>
        <w:t>万元，</w:t>
      </w:r>
      <w:r>
        <w:rPr>
          <w:rFonts w:hint="eastAsia" w:ascii="仿宋_GB2312" w:hAnsi="ˎ̥" w:eastAsia="仿宋_GB2312"/>
          <w:color w:val="000000"/>
          <w:sz w:val="32"/>
          <w:szCs w:val="32"/>
          <w:highlight w:val="none"/>
          <w:lang w:eastAsia="zh-CN"/>
        </w:rPr>
        <w:t>增长</w:t>
      </w:r>
      <w:r>
        <w:rPr>
          <w:rFonts w:hint="eastAsia" w:ascii="仿宋_GB2312" w:hAnsi="ˎ̥" w:eastAsia="仿宋_GB2312"/>
          <w:color w:val="000000"/>
          <w:sz w:val="32"/>
          <w:szCs w:val="32"/>
          <w:highlight w:val="none"/>
          <w:lang w:val="en-US" w:eastAsia="zh-CN"/>
        </w:rPr>
        <w:t>51.83</w:t>
      </w:r>
      <w:r>
        <w:rPr>
          <w:rFonts w:hint="eastAsia" w:ascii="仿宋_GB2312" w:hAnsi="ˎ̥" w:eastAsia="仿宋_GB2312"/>
          <w:color w:val="000000"/>
          <w:sz w:val="32"/>
          <w:szCs w:val="32"/>
          <w:highlight w:val="none"/>
        </w:rPr>
        <w:t>%，主要原因</w:t>
      </w:r>
      <w:r>
        <w:rPr>
          <w:rFonts w:hint="eastAsia" w:ascii="仿宋_GB2312" w:hAnsi="ˎ̥" w:eastAsia="仿宋_GB2312"/>
          <w:color w:val="000000"/>
          <w:sz w:val="32"/>
          <w:szCs w:val="32"/>
          <w:highlight w:val="none"/>
          <w:lang w:eastAsia="zh-CN"/>
        </w:rPr>
        <w:t>：</w:t>
      </w:r>
      <w:r>
        <w:rPr>
          <w:rFonts w:hint="eastAsia" w:ascii="仿宋_GB2312" w:hAnsi="ˎ̥" w:eastAsia="仿宋_GB2312"/>
          <w:color w:val="000000"/>
          <w:sz w:val="32"/>
          <w:szCs w:val="32"/>
          <w:highlight w:val="none"/>
        </w:rPr>
        <w:t>是</w:t>
      </w:r>
      <w:r>
        <w:rPr>
          <w:rFonts w:hint="eastAsia" w:ascii="宋体" w:hAnsi="宋体" w:eastAsia="宋体" w:cs="宋体"/>
          <w:color w:val="000000"/>
          <w:sz w:val="32"/>
          <w:szCs w:val="32"/>
          <w:highlight w:val="none"/>
          <w:u w:val="none"/>
        </w:rPr>
        <w:t>一般公共预算财政拨款机关事业单位基本养老保险缴费支出</w:t>
      </w:r>
      <w:r>
        <w:rPr>
          <w:rFonts w:hint="eastAsia" w:ascii="宋体" w:hAnsi="宋体" w:eastAsia="宋体" w:cs="宋体"/>
          <w:color w:val="000000"/>
          <w:sz w:val="32"/>
          <w:szCs w:val="32"/>
          <w:highlight w:val="none"/>
          <w:u w:val="none"/>
          <w:lang w:eastAsia="zh-CN"/>
        </w:rPr>
        <w:t>及职业年金支出增加</w:t>
      </w:r>
      <w:r>
        <w:rPr>
          <w:rFonts w:hint="eastAsia" w:ascii="宋体" w:hAnsi="宋体" w:eastAsia="宋体" w:cs="宋体"/>
          <w:color w:val="000000"/>
          <w:sz w:val="32"/>
          <w:szCs w:val="32"/>
          <w:highlight w:val="none"/>
          <w:u w:val="none"/>
          <w:lang w:val="en-US" w:eastAsia="zh-CN"/>
        </w:rPr>
        <w:t>539.28万元、卫生健康支出增加8575.74万元、城乡社区支出减少2186.79万元</w:t>
      </w:r>
      <w:r>
        <w:rPr>
          <w:rFonts w:hint="eastAsia" w:ascii="仿宋_GB2312" w:hAnsi="ˎ̥" w:eastAsia="仿宋_GB2312"/>
          <w:color w:val="000000"/>
          <w:sz w:val="32"/>
          <w:szCs w:val="32"/>
          <w:highlight w:val="none"/>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u w:val="none"/>
        </w:rPr>
      </w:pPr>
      <w:bookmarkStart w:id="83" w:name="_Toc2711_WPSOffice_Level2"/>
      <w:bookmarkStart w:id="84" w:name="_Toc18793_WPSOffice_Level2"/>
      <w:bookmarkStart w:id="85" w:name="_Toc19075_WPSOffice_Level2"/>
      <w:bookmarkStart w:id="86" w:name="_Toc23864_WPSOffice_Level2"/>
      <w:bookmarkStart w:id="87" w:name="_Toc19535_WPSOffice_Level2"/>
      <w:bookmarkStart w:id="88" w:name="_Toc27767_WPSOffice_Level2"/>
      <w:r>
        <w:rPr>
          <w:rFonts w:hint="eastAsia" w:ascii="楷体" w:hAnsi="楷体" w:eastAsia="楷体" w:cs="楷体"/>
          <w:color w:val="000000"/>
          <w:sz w:val="32"/>
          <w:szCs w:val="32"/>
          <w:highlight w:val="none"/>
          <w:u w:val="none"/>
        </w:rPr>
        <w:t>（二）一般公共预算财政拨款支出决算结构情况</w:t>
      </w:r>
      <w:bookmarkEnd w:id="83"/>
      <w:bookmarkEnd w:id="84"/>
      <w:r>
        <w:rPr>
          <w:rFonts w:hint="eastAsia" w:ascii="楷体" w:hAnsi="楷体" w:eastAsia="楷体" w:cs="楷体"/>
          <w:color w:val="000000"/>
          <w:sz w:val="32"/>
          <w:szCs w:val="32"/>
          <w:highlight w:val="none"/>
          <w:u w:val="none"/>
        </w:rPr>
        <w:t>。</w:t>
      </w:r>
      <w:bookmarkEnd w:id="85"/>
      <w:bookmarkEnd w:id="86"/>
      <w:bookmarkEnd w:id="87"/>
      <w:bookmarkEnd w:id="88"/>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color w:val="000000"/>
          <w:sz w:val="32"/>
          <w:szCs w:val="32"/>
          <w:highlight w:val="none"/>
          <w:u w:val="none"/>
        </w:rPr>
        <w:t>2022年度一般公共预算财政拨款支出</w:t>
      </w:r>
      <w:r>
        <w:rPr>
          <w:rFonts w:hint="eastAsia" w:ascii="仿宋_GB2312" w:hAnsi="ˎ̥" w:eastAsia="仿宋_GB2312"/>
          <w:color w:val="000000"/>
          <w:sz w:val="32"/>
          <w:szCs w:val="32"/>
          <w:highlight w:val="none"/>
          <w:u w:val="none"/>
          <w:lang w:val="en-US" w:eastAsia="zh-CN"/>
        </w:rPr>
        <w:t>20296.55</w:t>
      </w:r>
      <w:r>
        <w:rPr>
          <w:rFonts w:hint="eastAsia" w:ascii="仿宋_GB2312" w:hAnsi="ˎ̥" w:eastAsia="仿宋_GB2312"/>
          <w:color w:val="000000"/>
          <w:sz w:val="32"/>
          <w:szCs w:val="32"/>
          <w:highlight w:val="none"/>
          <w:u w:val="none"/>
        </w:rPr>
        <w:t>万元，主要用于以下方面：</w:t>
      </w:r>
      <w:r>
        <w:rPr>
          <w:rFonts w:hint="eastAsia" w:ascii="仿宋_GB2312" w:hAnsi="ˎ̥" w:eastAsia="仿宋_GB2312"/>
          <w:b/>
          <w:color w:val="000000"/>
          <w:sz w:val="32"/>
          <w:szCs w:val="32"/>
          <w:highlight w:val="none"/>
          <w:u w:val="none"/>
        </w:rPr>
        <w:t>社会保障和就业（类）</w:t>
      </w:r>
      <w:r>
        <w:rPr>
          <w:rFonts w:hint="eastAsia" w:ascii="仿宋_GB2312" w:hAnsi="ˎ̥" w:eastAsia="仿宋_GB2312"/>
          <w:color w:val="000000"/>
          <w:sz w:val="32"/>
          <w:szCs w:val="32"/>
          <w:highlight w:val="none"/>
          <w:u w:val="none"/>
        </w:rPr>
        <w:t>支出</w:t>
      </w:r>
      <w:r>
        <w:rPr>
          <w:rFonts w:hint="eastAsia" w:ascii="仿宋_GB2312" w:hAnsi="ˎ̥" w:eastAsia="仿宋_GB2312"/>
          <w:color w:val="000000"/>
          <w:sz w:val="32"/>
          <w:szCs w:val="32"/>
          <w:highlight w:val="none"/>
          <w:u w:val="none"/>
          <w:lang w:val="en-US" w:eastAsia="zh-CN"/>
        </w:rPr>
        <w:t>2970</w:t>
      </w:r>
      <w:r>
        <w:rPr>
          <w:rFonts w:hint="eastAsia" w:ascii="仿宋_GB2312" w:hAnsi="ˎ̥" w:eastAsia="仿宋_GB2312"/>
          <w:color w:val="000000"/>
          <w:sz w:val="32"/>
          <w:szCs w:val="32"/>
          <w:highlight w:val="none"/>
          <w:u w:val="none"/>
        </w:rPr>
        <w:t>万元，占</w:t>
      </w:r>
      <w:r>
        <w:rPr>
          <w:rFonts w:hint="eastAsia" w:ascii="仿宋_GB2312" w:hAnsi="ˎ̥" w:eastAsia="仿宋_GB2312"/>
          <w:color w:val="000000"/>
          <w:sz w:val="32"/>
          <w:szCs w:val="32"/>
          <w:highlight w:val="none"/>
          <w:u w:val="none"/>
          <w:lang w:val="en-US" w:eastAsia="zh-CN"/>
        </w:rPr>
        <w:t>14.63</w:t>
      </w:r>
      <w:r>
        <w:rPr>
          <w:rFonts w:hint="eastAsia" w:ascii="仿宋_GB2312" w:hAnsi="ˎ̥" w:eastAsia="仿宋_GB2312"/>
          <w:color w:val="000000"/>
          <w:sz w:val="32"/>
          <w:szCs w:val="32"/>
          <w:highlight w:val="none"/>
          <w:u w:val="none"/>
        </w:rPr>
        <w:t>%；</w:t>
      </w:r>
      <w:r>
        <w:rPr>
          <w:rFonts w:hint="eastAsia" w:ascii="仿宋_GB2312" w:hAnsi="ˎ̥" w:eastAsia="仿宋_GB2312"/>
          <w:b/>
          <w:bCs/>
          <w:color w:val="000000"/>
          <w:sz w:val="32"/>
          <w:szCs w:val="32"/>
          <w:highlight w:val="none"/>
          <w:u w:val="none"/>
          <w:lang w:eastAsia="zh-CN"/>
        </w:rPr>
        <w:t>卫生健康支出</w:t>
      </w:r>
      <w:r>
        <w:rPr>
          <w:rFonts w:hint="eastAsia" w:ascii="仿宋_GB2312" w:hAnsi="ˎ̥" w:eastAsia="仿宋_GB2312"/>
          <w:b/>
          <w:bCs/>
          <w:color w:val="000000"/>
          <w:sz w:val="32"/>
          <w:szCs w:val="32"/>
          <w:highlight w:val="none"/>
          <w:u w:val="none"/>
        </w:rPr>
        <w:t>（类）</w:t>
      </w:r>
      <w:r>
        <w:rPr>
          <w:rFonts w:hint="eastAsia" w:ascii="仿宋_GB2312" w:hAnsi="ˎ̥" w:eastAsia="仿宋_GB2312"/>
          <w:color w:val="000000"/>
          <w:sz w:val="32"/>
          <w:szCs w:val="32"/>
          <w:highlight w:val="none"/>
          <w:u w:val="none"/>
        </w:rPr>
        <w:t>支出</w:t>
      </w:r>
      <w:r>
        <w:rPr>
          <w:rFonts w:hint="eastAsia" w:ascii="仿宋_GB2312" w:hAnsi="ˎ̥" w:eastAsia="仿宋_GB2312"/>
          <w:color w:val="000000"/>
          <w:sz w:val="32"/>
          <w:szCs w:val="32"/>
          <w:highlight w:val="none"/>
          <w:u w:val="none"/>
          <w:lang w:val="en-US" w:eastAsia="zh-CN"/>
        </w:rPr>
        <w:t>17326.56</w:t>
      </w:r>
      <w:r>
        <w:rPr>
          <w:rFonts w:hint="eastAsia" w:ascii="仿宋_GB2312" w:hAnsi="ˎ̥" w:eastAsia="仿宋_GB2312"/>
          <w:color w:val="000000"/>
          <w:sz w:val="32"/>
          <w:szCs w:val="32"/>
          <w:highlight w:val="none"/>
          <w:u w:val="none"/>
        </w:rPr>
        <w:t>万元，占</w:t>
      </w:r>
      <w:r>
        <w:rPr>
          <w:rFonts w:hint="eastAsia" w:ascii="仿宋_GB2312" w:hAnsi="ˎ̥" w:eastAsia="仿宋_GB2312"/>
          <w:color w:val="000000"/>
          <w:sz w:val="32"/>
          <w:szCs w:val="32"/>
          <w:highlight w:val="none"/>
          <w:u w:val="none"/>
          <w:lang w:val="en-US" w:eastAsia="zh-CN"/>
        </w:rPr>
        <w:t>85.37</w:t>
      </w:r>
      <w:r>
        <w:rPr>
          <w:rFonts w:hint="eastAsia" w:ascii="仿宋_GB2312" w:hAnsi="ˎ̥" w:eastAsia="仿宋_GB2312"/>
          <w:color w:val="000000"/>
          <w:sz w:val="32"/>
          <w:szCs w:val="32"/>
          <w:highlight w:val="none"/>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u w:val="none"/>
        </w:rPr>
      </w:pPr>
      <w:bookmarkStart w:id="89" w:name="_Toc29364_WPSOffice_Level2"/>
      <w:bookmarkStart w:id="90" w:name="_Toc9502_WPSOffice_Level2"/>
      <w:bookmarkStart w:id="91" w:name="_Toc25136_WPSOffice_Level2"/>
      <w:bookmarkStart w:id="92" w:name="_Toc22318_WPSOffice_Level2"/>
      <w:bookmarkStart w:id="93" w:name="_Toc21701_WPSOffice_Level2"/>
      <w:bookmarkStart w:id="94" w:name="_Toc15415_WPSOffice_Level2"/>
      <w:r>
        <w:rPr>
          <w:rFonts w:hint="eastAsia" w:ascii="楷体" w:hAnsi="楷体" w:eastAsia="楷体" w:cs="楷体"/>
          <w:color w:val="000000"/>
          <w:sz w:val="32"/>
          <w:szCs w:val="32"/>
          <w:highlight w:val="none"/>
          <w:u w:val="none"/>
        </w:rPr>
        <w:t>（三）一般公共预算财政拨款支出决算具体情况。</w:t>
      </w:r>
      <w:bookmarkEnd w:id="89"/>
      <w:bookmarkEnd w:id="90"/>
      <w:bookmarkEnd w:id="91"/>
      <w:bookmarkEnd w:id="92"/>
      <w:bookmarkEnd w:id="93"/>
      <w:bookmarkEnd w:id="94"/>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color w:val="000000"/>
          <w:sz w:val="32"/>
          <w:szCs w:val="32"/>
          <w:highlight w:val="none"/>
          <w:u w:val="none"/>
        </w:rPr>
        <w:t>2022年度一般公共预算财政拨款支出年初预算为</w:t>
      </w:r>
      <w:r>
        <w:rPr>
          <w:rFonts w:hint="eastAsia" w:ascii="仿宋_GB2312" w:hAnsi="ˎ̥" w:eastAsia="仿宋_GB2312"/>
          <w:color w:val="000000"/>
          <w:sz w:val="32"/>
          <w:szCs w:val="32"/>
          <w:highlight w:val="none"/>
          <w:u w:val="none"/>
          <w:lang w:val="en-US" w:eastAsia="zh-CN"/>
        </w:rPr>
        <w:t>6030</w:t>
      </w:r>
      <w:r>
        <w:rPr>
          <w:rFonts w:hint="eastAsia" w:ascii="仿宋_GB2312" w:hAnsi="ˎ̥" w:eastAsia="仿宋_GB2312"/>
          <w:color w:val="000000"/>
          <w:sz w:val="32"/>
          <w:szCs w:val="32"/>
          <w:highlight w:val="none"/>
          <w:u w:val="none"/>
        </w:rPr>
        <w:t>万元，支出决算为</w:t>
      </w:r>
      <w:r>
        <w:rPr>
          <w:rFonts w:hint="eastAsia" w:ascii="仿宋_GB2312" w:hAnsi="ˎ̥" w:eastAsia="仿宋_GB2312"/>
          <w:color w:val="000000"/>
          <w:sz w:val="32"/>
          <w:szCs w:val="32"/>
          <w:highlight w:val="none"/>
          <w:u w:val="none"/>
          <w:lang w:val="en-US" w:eastAsia="zh-CN"/>
        </w:rPr>
        <w:t>20296.55</w:t>
      </w:r>
      <w:r>
        <w:rPr>
          <w:rFonts w:hint="eastAsia" w:ascii="仿宋_GB2312" w:hAnsi="ˎ̥" w:eastAsia="仿宋_GB2312"/>
          <w:color w:val="000000"/>
          <w:sz w:val="32"/>
          <w:szCs w:val="32"/>
          <w:highlight w:val="none"/>
          <w:u w:val="none"/>
        </w:rPr>
        <w:t>万元，完成年初预算的</w:t>
      </w:r>
      <w:r>
        <w:rPr>
          <w:rFonts w:hint="eastAsia" w:ascii="仿宋_GB2312" w:hAnsi="ˎ̥" w:eastAsia="仿宋_GB2312"/>
          <w:color w:val="000000"/>
          <w:sz w:val="32"/>
          <w:szCs w:val="32"/>
          <w:highlight w:val="none"/>
          <w:u w:val="none"/>
          <w:lang w:val="en-US" w:eastAsia="zh-CN"/>
        </w:rPr>
        <w:t>336.59</w:t>
      </w:r>
      <w:r>
        <w:rPr>
          <w:rFonts w:hint="eastAsia" w:ascii="仿宋_GB2312" w:hAnsi="ˎ̥" w:eastAsia="仿宋_GB2312"/>
          <w:color w:val="000000"/>
          <w:sz w:val="32"/>
          <w:szCs w:val="32"/>
          <w:highlight w:val="none"/>
          <w:u w:val="none"/>
        </w:rPr>
        <w:t>%。其中：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b/>
          <w:color w:val="000000"/>
          <w:sz w:val="32"/>
          <w:szCs w:val="32"/>
          <w:highlight w:val="none"/>
          <w:u w:val="none"/>
        </w:rPr>
      </w:pPr>
      <w:r>
        <w:rPr>
          <w:rFonts w:hint="eastAsia" w:ascii="仿宋_GB2312" w:hAnsi="ˎ̥" w:eastAsia="仿宋_GB2312"/>
          <w:color w:val="000000"/>
          <w:sz w:val="32"/>
          <w:szCs w:val="32"/>
          <w:highlight w:val="none"/>
          <w:u w:val="none"/>
        </w:rPr>
        <w:t>1.</w:t>
      </w:r>
      <w:r>
        <w:rPr>
          <w:rFonts w:hint="eastAsia" w:ascii="仿宋_GB2312" w:hAnsi="ˎ̥" w:eastAsia="仿宋_GB2312"/>
          <w:b/>
          <w:color w:val="000000"/>
          <w:sz w:val="32"/>
          <w:szCs w:val="32"/>
          <w:highlight w:val="none"/>
          <w:u w:val="none"/>
        </w:rPr>
        <w:t>社会保障和就业支出（类）行政事业单位养老支出（款）机关事业单位基本养老保险缴费支出（项）</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ˎ̥" w:eastAsia="仿宋_GB2312"/>
          <w:color w:val="000000"/>
          <w:sz w:val="32"/>
          <w:szCs w:val="32"/>
          <w:highlight w:val="none"/>
          <w:u w:val="none"/>
        </w:rPr>
      </w:pPr>
      <w:r>
        <w:rPr>
          <w:rFonts w:hint="eastAsia" w:ascii="仿宋_GB2312" w:hAnsi="ˎ̥" w:eastAsia="仿宋_GB2312"/>
          <w:color w:val="000000"/>
          <w:sz w:val="32"/>
          <w:szCs w:val="32"/>
          <w:highlight w:val="none"/>
          <w:u w:val="none"/>
        </w:rPr>
        <w:t>年初预算为</w:t>
      </w:r>
      <w:r>
        <w:rPr>
          <w:rFonts w:hint="eastAsia" w:ascii="仿宋_GB2312" w:hAnsi="ˎ̥" w:eastAsia="仿宋_GB2312"/>
          <w:color w:val="000000"/>
          <w:sz w:val="32"/>
          <w:szCs w:val="32"/>
          <w:highlight w:val="none"/>
          <w:u w:val="none"/>
          <w:lang w:val="en-US" w:eastAsia="zh-CN"/>
        </w:rPr>
        <w:t>1980</w:t>
      </w:r>
      <w:r>
        <w:rPr>
          <w:rFonts w:hint="eastAsia" w:ascii="仿宋_GB2312" w:hAnsi="ˎ̥" w:eastAsia="仿宋_GB2312"/>
          <w:color w:val="000000"/>
          <w:sz w:val="32"/>
          <w:szCs w:val="32"/>
          <w:highlight w:val="none"/>
          <w:u w:val="none"/>
        </w:rPr>
        <w:t>万元，支出决算为</w:t>
      </w:r>
      <w:r>
        <w:rPr>
          <w:rFonts w:hint="eastAsia" w:ascii="仿宋_GB2312" w:hAnsi="ˎ̥" w:eastAsia="仿宋_GB2312"/>
          <w:color w:val="000000"/>
          <w:sz w:val="32"/>
          <w:szCs w:val="32"/>
          <w:highlight w:val="none"/>
          <w:u w:val="none"/>
          <w:lang w:val="en-US" w:eastAsia="zh-CN"/>
        </w:rPr>
        <w:t>1980</w:t>
      </w:r>
      <w:r>
        <w:rPr>
          <w:rFonts w:hint="eastAsia" w:ascii="仿宋_GB2312" w:hAnsi="ˎ̥" w:eastAsia="仿宋_GB2312"/>
          <w:color w:val="000000"/>
          <w:sz w:val="32"/>
          <w:szCs w:val="32"/>
          <w:highlight w:val="none"/>
          <w:u w:val="none"/>
        </w:rPr>
        <w:t>万元，完成年初预算的</w:t>
      </w:r>
      <w:r>
        <w:rPr>
          <w:rFonts w:hint="eastAsia" w:ascii="仿宋_GB2312" w:hAnsi="ˎ̥" w:eastAsia="仿宋_GB2312"/>
          <w:color w:val="000000"/>
          <w:sz w:val="32"/>
          <w:szCs w:val="32"/>
          <w:highlight w:val="none"/>
          <w:u w:val="none"/>
          <w:lang w:val="en-US" w:eastAsia="zh-CN"/>
        </w:rPr>
        <w:t>100</w:t>
      </w:r>
      <w:r>
        <w:rPr>
          <w:rFonts w:hint="eastAsia" w:ascii="仿宋_GB2312" w:hAnsi="ˎ̥" w:eastAsia="仿宋_GB2312"/>
          <w:color w:val="000000"/>
          <w:sz w:val="32"/>
          <w:szCs w:val="32"/>
          <w:highlight w:val="none"/>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color w:val="000000"/>
          <w:sz w:val="32"/>
          <w:szCs w:val="32"/>
          <w:highlight w:val="none"/>
          <w:u w:val="none"/>
        </w:rPr>
        <w:t>2.1.</w:t>
      </w:r>
      <w:r>
        <w:rPr>
          <w:rFonts w:hint="eastAsia" w:ascii="仿宋_GB2312" w:hAnsi="ˎ̥" w:eastAsia="仿宋_GB2312"/>
          <w:b/>
          <w:color w:val="000000"/>
          <w:sz w:val="32"/>
          <w:szCs w:val="32"/>
          <w:highlight w:val="none"/>
          <w:u w:val="none"/>
        </w:rPr>
        <w:t>社会保障和就业支出（类）行政事业单位养老支出（款）机关事业单位职业年金缴费支出（项）</w:t>
      </w:r>
      <w:r>
        <w:rPr>
          <w:rFonts w:hint="eastAsia" w:ascii="仿宋_GB2312" w:hAnsi="ˎ̥" w:eastAsia="仿宋_GB2312"/>
          <w:b/>
          <w:color w:val="000000"/>
          <w:sz w:val="32"/>
          <w:szCs w:val="32"/>
          <w:highlight w:val="none"/>
          <w:u w:val="none"/>
          <w:lang w:eastAsia="zh-CN"/>
        </w:rPr>
        <w:t>，</w:t>
      </w:r>
      <w:r>
        <w:rPr>
          <w:rFonts w:hint="eastAsia" w:ascii="仿宋_GB2312" w:hAnsi="ˎ̥" w:eastAsia="仿宋_GB2312"/>
          <w:color w:val="000000"/>
          <w:sz w:val="32"/>
          <w:szCs w:val="32"/>
          <w:highlight w:val="none"/>
          <w:u w:val="none"/>
        </w:rPr>
        <w:t>年初预算为</w:t>
      </w:r>
      <w:r>
        <w:rPr>
          <w:rFonts w:hint="eastAsia" w:ascii="仿宋_GB2312" w:hAnsi="ˎ̥" w:eastAsia="仿宋_GB2312"/>
          <w:color w:val="000000"/>
          <w:sz w:val="32"/>
          <w:szCs w:val="32"/>
          <w:highlight w:val="none"/>
          <w:u w:val="none"/>
          <w:lang w:val="en-US" w:eastAsia="zh-CN"/>
        </w:rPr>
        <w:t>990</w:t>
      </w:r>
      <w:r>
        <w:rPr>
          <w:rFonts w:hint="eastAsia" w:ascii="仿宋_GB2312" w:hAnsi="ˎ̥" w:eastAsia="仿宋_GB2312"/>
          <w:color w:val="000000"/>
          <w:sz w:val="32"/>
          <w:szCs w:val="32"/>
          <w:highlight w:val="none"/>
          <w:u w:val="none"/>
        </w:rPr>
        <w:t>万元，支出决算为</w:t>
      </w:r>
      <w:r>
        <w:rPr>
          <w:rFonts w:hint="eastAsia" w:ascii="仿宋_GB2312" w:hAnsi="ˎ̥" w:eastAsia="仿宋_GB2312"/>
          <w:color w:val="000000"/>
          <w:sz w:val="32"/>
          <w:szCs w:val="32"/>
          <w:highlight w:val="none"/>
          <w:u w:val="none"/>
          <w:lang w:val="en-US" w:eastAsia="zh-CN"/>
        </w:rPr>
        <w:t>990</w:t>
      </w:r>
      <w:r>
        <w:rPr>
          <w:rFonts w:hint="eastAsia" w:ascii="仿宋_GB2312" w:hAnsi="ˎ̥" w:eastAsia="仿宋_GB2312"/>
          <w:color w:val="000000"/>
          <w:sz w:val="32"/>
          <w:szCs w:val="32"/>
          <w:highlight w:val="none"/>
          <w:u w:val="none"/>
        </w:rPr>
        <w:t>万元，完成年初预算的</w:t>
      </w:r>
      <w:r>
        <w:rPr>
          <w:rFonts w:hint="eastAsia" w:ascii="仿宋_GB2312" w:hAnsi="ˎ̥" w:eastAsia="仿宋_GB2312"/>
          <w:color w:val="000000"/>
          <w:sz w:val="32"/>
          <w:szCs w:val="32"/>
          <w:highlight w:val="none"/>
          <w:u w:val="none"/>
          <w:lang w:val="en-US" w:eastAsia="zh-CN"/>
        </w:rPr>
        <w:t>100</w:t>
      </w:r>
      <w:r>
        <w:rPr>
          <w:rFonts w:hint="eastAsia" w:ascii="仿宋_GB2312" w:hAnsi="ˎ̥" w:eastAsia="仿宋_GB2312"/>
          <w:color w:val="000000"/>
          <w:sz w:val="32"/>
          <w:szCs w:val="32"/>
          <w:highlight w:val="none"/>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b/>
          <w:color w:val="000000"/>
          <w:sz w:val="32"/>
          <w:szCs w:val="32"/>
          <w:highlight w:val="none"/>
          <w:u w:val="none"/>
        </w:rPr>
      </w:pPr>
      <w:r>
        <w:rPr>
          <w:rFonts w:hint="eastAsia" w:ascii="仿宋_GB2312" w:hAnsi="ˎ̥" w:eastAsia="仿宋_GB2312"/>
          <w:color w:val="000000"/>
          <w:sz w:val="32"/>
          <w:szCs w:val="32"/>
          <w:highlight w:val="none"/>
          <w:u w:val="none"/>
          <w:lang w:val="en-US" w:eastAsia="zh-CN"/>
        </w:rPr>
        <w:t>3、卫生健康支出</w:t>
      </w:r>
      <w:r>
        <w:rPr>
          <w:rFonts w:hint="eastAsia" w:ascii="仿宋_GB2312" w:hAnsi="ˎ̥" w:eastAsia="仿宋_GB2312"/>
          <w:b/>
          <w:color w:val="000000"/>
          <w:sz w:val="32"/>
          <w:szCs w:val="32"/>
          <w:highlight w:val="none"/>
          <w:u w:val="none"/>
        </w:rPr>
        <w:t>（类）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color w:val="000000"/>
          <w:sz w:val="32"/>
          <w:szCs w:val="32"/>
          <w:highlight w:val="none"/>
          <w:u w:val="none"/>
        </w:rPr>
        <w:t>年初预算为</w:t>
      </w:r>
      <w:r>
        <w:rPr>
          <w:rFonts w:hint="eastAsia" w:ascii="仿宋_GB2312" w:hAnsi="ˎ̥" w:eastAsia="仿宋_GB2312"/>
          <w:color w:val="000000"/>
          <w:sz w:val="32"/>
          <w:szCs w:val="32"/>
          <w:highlight w:val="none"/>
          <w:u w:val="none"/>
          <w:lang w:val="en-US" w:eastAsia="zh-CN"/>
        </w:rPr>
        <w:t>3060</w:t>
      </w:r>
      <w:r>
        <w:rPr>
          <w:rFonts w:hint="eastAsia" w:ascii="仿宋_GB2312" w:hAnsi="ˎ̥" w:eastAsia="仿宋_GB2312"/>
          <w:color w:val="000000"/>
          <w:sz w:val="32"/>
          <w:szCs w:val="32"/>
          <w:highlight w:val="none"/>
          <w:u w:val="none"/>
        </w:rPr>
        <w:t>万元，支出决算为</w:t>
      </w:r>
      <w:r>
        <w:rPr>
          <w:rFonts w:hint="eastAsia" w:ascii="仿宋_GB2312" w:hAnsi="ˎ̥" w:eastAsia="仿宋_GB2312"/>
          <w:color w:val="000000"/>
          <w:sz w:val="32"/>
          <w:szCs w:val="32"/>
          <w:highlight w:val="none"/>
          <w:u w:val="none"/>
          <w:lang w:val="en-US" w:eastAsia="zh-CN"/>
        </w:rPr>
        <w:t>17326.56</w:t>
      </w:r>
      <w:r>
        <w:rPr>
          <w:rFonts w:hint="eastAsia" w:ascii="仿宋_GB2312" w:hAnsi="ˎ̥" w:eastAsia="仿宋_GB2312"/>
          <w:color w:val="000000"/>
          <w:sz w:val="32"/>
          <w:szCs w:val="32"/>
          <w:highlight w:val="none"/>
          <w:u w:val="none"/>
        </w:rPr>
        <w:t>万元，完成年初预算的</w:t>
      </w:r>
      <w:r>
        <w:rPr>
          <w:rFonts w:hint="eastAsia" w:ascii="仿宋_GB2312" w:hAnsi="ˎ̥" w:eastAsia="仿宋_GB2312"/>
          <w:color w:val="000000"/>
          <w:sz w:val="32"/>
          <w:szCs w:val="32"/>
          <w:highlight w:val="none"/>
          <w:u w:val="none"/>
          <w:lang w:val="en-US" w:eastAsia="zh-CN"/>
        </w:rPr>
        <w:t>566.23</w:t>
      </w:r>
      <w:r>
        <w:rPr>
          <w:rFonts w:hint="eastAsia" w:ascii="仿宋_GB2312" w:hAnsi="ˎ̥" w:eastAsia="仿宋_GB2312"/>
          <w:color w:val="000000"/>
          <w:sz w:val="32"/>
          <w:szCs w:val="32"/>
          <w:highlight w:val="none"/>
          <w:u w:val="none"/>
        </w:rPr>
        <w:t>%。</w:t>
      </w: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color w:val="000000"/>
          <w:sz w:val="32"/>
          <w:szCs w:val="32"/>
          <w:highlight w:val="none"/>
          <w:u w:val="none"/>
        </w:rPr>
      </w:pPr>
      <w:r>
        <w:rPr>
          <w:rFonts w:hint="eastAsia" w:ascii="黑体" w:hAnsi="黑体" w:eastAsia="黑体" w:cs="黑体"/>
          <w:bCs/>
          <w:color w:val="000000"/>
          <w:sz w:val="32"/>
          <w:szCs w:val="32"/>
          <w:highlight w:val="none"/>
          <w:u w:val="none"/>
        </w:rPr>
        <w:t>六、一般公共预算财政拨款基本支出决算情况说明</w:t>
      </w:r>
    </w:p>
    <w:p>
      <w:pPr>
        <w:keepNext w:val="0"/>
        <w:keepLines w:val="0"/>
        <w:pageBreakBefore w:val="0"/>
        <w:tabs>
          <w:tab w:val="center" w:pos="4473"/>
        </w:tabs>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color w:val="000000"/>
          <w:sz w:val="32"/>
          <w:szCs w:val="32"/>
          <w:highlight w:val="none"/>
          <w:u w:val="none"/>
        </w:rPr>
        <w:t>2022年度财政拨款基本支出</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万元，其中：人员经费</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家庭的补助中的离休费、退休费、退职（役）费、抚恤金、生活补助、救济费、医疗费补助、助学金、奖励金、个人农业生产补贴、代缴社会保险费、其他对个人和家庭的补助。公用经费</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主要包括：商品和服务支出中的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债务利息及费用支出中的国内债务付息及国外债务付息；资本性支出中的房屋建筑物构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国家赔偿费用支出、对民间非营利组织和群众性自治组织补贴</w:t>
      </w:r>
      <w:r>
        <w:rPr>
          <w:rFonts w:hint="eastAsia" w:ascii="仿宋_GB2312" w:hAnsi="ˎ̥" w:eastAsia="仿宋_GB2312"/>
          <w:color w:val="000000"/>
          <w:sz w:val="32"/>
          <w:szCs w:val="32"/>
          <w:highlight w:val="none"/>
          <w:u w:val="none"/>
          <w:lang w:eastAsia="zh-CN"/>
        </w:rPr>
        <w:t>、经常性</w:t>
      </w:r>
      <w:r>
        <w:rPr>
          <w:rFonts w:hint="eastAsia" w:ascii="仿宋_GB2312" w:hAnsi="ˎ̥" w:eastAsia="仿宋_GB2312"/>
          <w:color w:val="000000"/>
          <w:sz w:val="32"/>
          <w:szCs w:val="32"/>
          <w:highlight w:val="none"/>
          <w:u w:val="none"/>
        </w:rPr>
        <w:t>赠予、</w:t>
      </w:r>
      <w:r>
        <w:rPr>
          <w:rFonts w:hint="eastAsia" w:ascii="仿宋_GB2312" w:hAnsi="ˎ̥" w:eastAsia="仿宋_GB2312"/>
          <w:color w:val="000000"/>
          <w:sz w:val="32"/>
          <w:szCs w:val="32"/>
          <w:highlight w:val="none"/>
          <w:u w:val="none"/>
          <w:lang w:eastAsia="zh-CN"/>
        </w:rPr>
        <w:t>资本性赠予</w:t>
      </w:r>
      <w:r>
        <w:rPr>
          <w:rFonts w:hint="eastAsia" w:ascii="仿宋_GB2312" w:hAnsi="ˎ̥" w:eastAsia="仿宋_GB2312"/>
          <w:color w:val="000000"/>
          <w:sz w:val="32"/>
          <w:szCs w:val="32"/>
          <w:highlight w:val="none"/>
          <w:u w:val="none"/>
        </w:rPr>
        <w:t>和其他支出。</w:t>
      </w:r>
    </w:p>
    <w:p>
      <w:pPr>
        <w:keepNext w:val="0"/>
        <w:keepLines w:val="0"/>
        <w:pageBreakBefore w:val="0"/>
        <w:tabs>
          <w:tab w:val="center" w:pos="4473"/>
        </w:tabs>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u w:val="none"/>
        </w:rPr>
      </w:pPr>
      <w:r>
        <w:rPr>
          <w:rFonts w:hint="eastAsia" w:ascii="黑体" w:hAnsi="黑体" w:eastAsia="黑体" w:cs="黑体"/>
          <w:bCs/>
          <w:color w:val="000000"/>
          <w:sz w:val="32"/>
          <w:szCs w:val="32"/>
          <w:highlight w:val="none"/>
          <w:u w:val="none"/>
        </w:rPr>
        <w:t>七、政府性基金预算财政拨款支出决算情况说明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u w:val="none"/>
        </w:rPr>
      </w:pPr>
      <w:r>
        <w:rPr>
          <w:rFonts w:hint="eastAsia" w:ascii="楷体" w:hAnsi="楷体" w:eastAsia="楷体" w:cs="楷体"/>
          <w:color w:val="000000"/>
          <w:sz w:val="32"/>
          <w:szCs w:val="32"/>
          <w:highlight w:val="none"/>
          <w:u w:val="none"/>
        </w:rPr>
        <w:t>（一）政府性基金预算财政拨款支出决算总体情况。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color w:val="000000"/>
          <w:sz w:val="32"/>
          <w:szCs w:val="32"/>
          <w:highlight w:val="none"/>
          <w:u w:val="none"/>
        </w:rPr>
        <w:t>2022年度政府性基金预算财政拨款支出</w:t>
      </w:r>
      <w:r>
        <w:rPr>
          <w:rFonts w:hint="eastAsia" w:ascii="仿宋_GB2312" w:hAnsi="ˎ̥" w:eastAsia="仿宋_GB2312"/>
          <w:color w:val="000000"/>
          <w:sz w:val="32"/>
          <w:szCs w:val="32"/>
          <w:highlight w:val="none"/>
          <w:u w:val="none"/>
          <w:lang w:val="en-US" w:eastAsia="zh-CN"/>
        </w:rPr>
        <w:t>18598.36</w:t>
      </w:r>
      <w:r>
        <w:rPr>
          <w:rFonts w:hint="eastAsia" w:ascii="仿宋_GB2312" w:hAnsi="ˎ̥" w:eastAsia="仿宋_GB2312"/>
          <w:color w:val="000000"/>
          <w:sz w:val="32"/>
          <w:szCs w:val="32"/>
          <w:highlight w:val="none"/>
          <w:u w:val="none"/>
        </w:rPr>
        <w:t>万元，占本年支出合计的</w:t>
      </w:r>
      <w:r>
        <w:rPr>
          <w:rFonts w:hint="eastAsia" w:ascii="仿宋_GB2312" w:hAnsi="ˎ̥" w:eastAsia="仿宋_GB2312"/>
          <w:color w:val="000000"/>
          <w:sz w:val="32"/>
          <w:szCs w:val="32"/>
          <w:highlight w:val="none"/>
          <w:u w:val="none"/>
          <w:lang w:val="en-US" w:eastAsia="zh-CN"/>
        </w:rPr>
        <w:t>16.22</w:t>
      </w:r>
      <w:r>
        <w:rPr>
          <w:rFonts w:hint="eastAsia" w:ascii="仿宋_GB2312" w:hAnsi="ˎ̥" w:eastAsia="仿宋_GB2312"/>
          <w:color w:val="000000"/>
          <w:sz w:val="32"/>
          <w:szCs w:val="32"/>
          <w:highlight w:val="none"/>
          <w:u w:val="none"/>
        </w:rPr>
        <w:t>%。与2021年度相比，政府性基金预算财政拨款支出增加</w:t>
      </w:r>
      <w:r>
        <w:rPr>
          <w:rFonts w:hint="eastAsia" w:ascii="仿宋_GB2312" w:hAnsi="ˎ̥" w:eastAsia="仿宋_GB2312"/>
          <w:color w:val="000000"/>
          <w:sz w:val="32"/>
          <w:szCs w:val="32"/>
          <w:highlight w:val="none"/>
          <w:u w:val="none"/>
          <w:lang w:val="en-US" w:eastAsia="zh-CN"/>
        </w:rPr>
        <w:t>5157.07</w:t>
      </w:r>
      <w:r>
        <w:rPr>
          <w:rFonts w:hint="eastAsia" w:ascii="仿宋_GB2312" w:hAnsi="ˎ̥" w:eastAsia="仿宋_GB2312"/>
          <w:color w:val="000000"/>
          <w:sz w:val="32"/>
          <w:szCs w:val="32"/>
          <w:highlight w:val="none"/>
          <w:u w:val="none"/>
        </w:rPr>
        <w:t>万元，增长</w:t>
      </w:r>
      <w:r>
        <w:rPr>
          <w:rFonts w:hint="eastAsia" w:ascii="仿宋_GB2312" w:hAnsi="ˎ̥" w:eastAsia="仿宋_GB2312"/>
          <w:color w:val="000000"/>
          <w:sz w:val="32"/>
          <w:szCs w:val="32"/>
          <w:highlight w:val="none"/>
          <w:u w:val="none"/>
          <w:lang w:val="en-US" w:eastAsia="zh-CN"/>
        </w:rPr>
        <w:t>38.37</w:t>
      </w:r>
      <w:r>
        <w:rPr>
          <w:rFonts w:hint="eastAsia" w:ascii="仿宋_GB2312" w:hAnsi="ˎ̥" w:eastAsia="仿宋_GB2312"/>
          <w:color w:val="000000"/>
          <w:sz w:val="32"/>
          <w:szCs w:val="32"/>
          <w:highlight w:val="none"/>
          <w:u w:val="none"/>
        </w:rPr>
        <w:t>%，主要原因是</w:t>
      </w:r>
      <w:r>
        <w:rPr>
          <w:rFonts w:hint="eastAsia" w:ascii="仿宋_GB2312" w:hAnsi="ˎ̥" w:eastAsia="仿宋_GB2312"/>
          <w:color w:val="000000"/>
          <w:sz w:val="32"/>
          <w:szCs w:val="32"/>
          <w:highlight w:val="none"/>
          <w:u w:val="none"/>
          <w:lang w:val="en-US" w:eastAsia="zh-CN"/>
        </w:rPr>
        <w:t>2022年增加了</w:t>
      </w:r>
      <w:r>
        <w:rPr>
          <w:rFonts w:hint="eastAsia" w:ascii="仿宋_GB2312" w:hAnsi="ˎ̥" w:eastAsia="仿宋_GB2312"/>
          <w:color w:val="000000"/>
          <w:sz w:val="32"/>
          <w:szCs w:val="32"/>
          <w:highlight w:val="none"/>
          <w:u w:val="none"/>
        </w:rPr>
        <w:t>其他地方自行试点项目收益专项债券收入安排的支出</w:t>
      </w:r>
      <w:r>
        <w:rPr>
          <w:rFonts w:hint="eastAsia" w:ascii="仿宋_GB2312" w:hAnsi="ˎ̥" w:eastAsia="仿宋_GB2312"/>
          <w:color w:val="000000"/>
          <w:sz w:val="32"/>
          <w:szCs w:val="32"/>
          <w:highlight w:val="none"/>
          <w:u w:val="none"/>
          <w:lang w:eastAsia="zh-CN"/>
        </w:rPr>
        <w:t>，主要用于新建二期门诊综合大楼建设项目</w:t>
      </w:r>
      <w:r>
        <w:rPr>
          <w:rFonts w:hint="eastAsia" w:ascii="仿宋_GB2312" w:hAnsi="ˎ̥" w:eastAsia="仿宋_GB2312"/>
          <w:color w:val="000000"/>
          <w:sz w:val="32"/>
          <w:szCs w:val="32"/>
          <w:highlight w:val="none"/>
          <w:u w:val="none"/>
          <w:lang w:val="en-US" w:eastAsia="zh-CN"/>
        </w:rPr>
        <w:t>1684.01万元，新建二期综合楼医疗设备采购项目11153.37万元，三亚中心医院高端CT等医疗设备采购项目5748.58万元，三亚市中心医院改扩建项目12.40万元</w:t>
      </w:r>
      <w:r>
        <w:rPr>
          <w:rFonts w:hint="eastAsia" w:ascii="仿宋_GB2312" w:hAnsi="ˎ̥" w:eastAsia="仿宋_GB2312"/>
          <w:color w:val="000000"/>
          <w:sz w:val="32"/>
          <w:szCs w:val="32"/>
          <w:highlight w:val="none"/>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u w:val="none"/>
        </w:rPr>
      </w:pPr>
      <w:r>
        <w:rPr>
          <w:rFonts w:hint="eastAsia" w:ascii="楷体" w:hAnsi="楷体" w:eastAsia="楷体" w:cs="楷体"/>
          <w:color w:val="000000"/>
          <w:sz w:val="32"/>
          <w:szCs w:val="32"/>
          <w:highlight w:val="none"/>
          <w:u w:val="none"/>
        </w:rPr>
        <w:t>（二）政府性基金预算财政拨款支出决算结构情况。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color w:val="000000"/>
          <w:sz w:val="32"/>
          <w:szCs w:val="32"/>
          <w:highlight w:val="none"/>
          <w:u w:val="none"/>
        </w:rPr>
        <w:t>2022年度政府性基金预算财政拨款支出</w:t>
      </w:r>
      <w:r>
        <w:rPr>
          <w:rFonts w:hint="eastAsia" w:ascii="仿宋_GB2312" w:hAnsi="ˎ̥" w:eastAsia="仿宋_GB2312"/>
          <w:color w:val="000000"/>
          <w:sz w:val="32"/>
          <w:szCs w:val="32"/>
          <w:highlight w:val="none"/>
          <w:u w:val="none"/>
          <w:lang w:val="en-US" w:eastAsia="zh-CN"/>
        </w:rPr>
        <w:t>18598.36</w:t>
      </w:r>
      <w:r>
        <w:rPr>
          <w:rFonts w:hint="eastAsia" w:ascii="仿宋_GB2312" w:hAnsi="ˎ̥" w:eastAsia="仿宋_GB2312"/>
          <w:color w:val="000000"/>
          <w:sz w:val="32"/>
          <w:szCs w:val="32"/>
          <w:highlight w:val="none"/>
          <w:u w:val="none"/>
        </w:rPr>
        <w:t>万元，主要用于以下方面：其他支出</w:t>
      </w:r>
      <w:r>
        <w:rPr>
          <w:rFonts w:hint="eastAsia" w:ascii="仿宋_GB2312" w:hAnsi="ˎ̥" w:eastAsia="仿宋_GB2312"/>
          <w:b/>
          <w:color w:val="000000"/>
          <w:sz w:val="32"/>
          <w:szCs w:val="32"/>
          <w:highlight w:val="none"/>
          <w:u w:val="none"/>
        </w:rPr>
        <w:t>（类）</w:t>
      </w:r>
      <w:r>
        <w:rPr>
          <w:rFonts w:hint="eastAsia" w:ascii="仿宋_GB2312" w:hAnsi="ˎ̥" w:eastAsia="仿宋_GB2312"/>
          <w:b w:val="0"/>
          <w:bCs/>
          <w:color w:val="000000"/>
          <w:sz w:val="32"/>
          <w:szCs w:val="32"/>
          <w:highlight w:val="none"/>
          <w:u w:val="none"/>
        </w:rPr>
        <w:t>其他政府性基金及对应专项债务收入安排的支出</w:t>
      </w:r>
      <w:r>
        <w:rPr>
          <w:rFonts w:hint="eastAsia" w:ascii="仿宋_GB2312" w:hAnsi="ˎ̥" w:eastAsia="仿宋_GB2312"/>
          <w:b w:val="0"/>
          <w:bCs/>
          <w:color w:val="000000"/>
          <w:sz w:val="32"/>
          <w:szCs w:val="32"/>
          <w:highlight w:val="none"/>
          <w:u w:val="none"/>
          <w:lang w:eastAsia="zh-CN"/>
        </w:rPr>
        <w:t>（款）</w:t>
      </w:r>
      <w:r>
        <w:rPr>
          <w:rFonts w:hint="eastAsia" w:ascii="仿宋_GB2312" w:hAnsi="ˎ̥" w:eastAsia="仿宋_GB2312"/>
          <w:color w:val="000000"/>
          <w:sz w:val="32"/>
          <w:szCs w:val="32"/>
          <w:highlight w:val="none"/>
          <w:u w:val="none"/>
        </w:rPr>
        <w:t>其他地方自行试点项目收益专项债券收入安排的支出</w:t>
      </w:r>
      <w:r>
        <w:rPr>
          <w:rFonts w:hint="eastAsia" w:ascii="仿宋_GB2312" w:hAnsi="ˎ̥" w:eastAsia="仿宋_GB2312"/>
          <w:color w:val="000000"/>
          <w:sz w:val="32"/>
          <w:szCs w:val="32"/>
          <w:highlight w:val="none"/>
          <w:u w:val="none"/>
          <w:lang w:eastAsia="zh-CN"/>
        </w:rPr>
        <w:t>（项）</w:t>
      </w:r>
      <w:r>
        <w:rPr>
          <w:rFonts w:hint="eastAsia" w:ascii="仿宋_GB2312" w:hAnsi="ˎ̥" w:eastAsia="仿宋_GB2312"/>
          <w:color w:val="000000"/>
          <w:sz w:val="32"/>
          <w:szCs w:val="32"/>
          <w:highlight w:val="none"/>
          <w:u w:val="none"/>
        </w:rPr>
        <w:t>支出</w:t>
      </w:r>
      <w:r>
        <w:rPr>
          <w:rFonts w:hint="eastAsia" w:ascii="仿宋_GB2312" w:hAnsi="ˎ̥" w:eastAsia="仿宋_GB2312"/>
          <w:color w:val="000000"/>
          <w:sz w:val="32"/>
          <w:szCs w:val="32"/>
          <w:highlight w:val="none"/>
          <w:u w:val="none"/>
          <w:lang w:val="en-US" w:eastAsia="zh-CN"/>
        </w:rPr>
        <w:t>18598.36</w:t>
      </w:r>
      <w:r>
        <w:rPr>
          <w:rFonts w:hint="eastAsia" w:ascii="仿宋_GB2312" w:hAnsi="ˎ̥" w:eastAsia="仿宋_GB2312"/>
          <w:color w:val="000000"/>
          <w:sz w:val="32"/>
          <w:szCs w:val="32"/>
          <w:highlight w:val="none"/>
          <w:u w:val="none"/>
        </w:rPr>
        <w:t>万元，占</w:t>
      </w:r>
      <w:r>
        <w:rPr>
          <w:rFonts w:hint="eastAsia" w:ascii="仿宋_GB2312" w:hAnsi="ˎ̥" w:eastAsia="仿宋_GB2312"/>
          <w:color w:val="000000"/>
          <w:sz w:val="32"/>
          <w:szCs w:val="32"/>
          <w:highlight w:val="none"/>
          <w:u w:val="none"/>
          <w:lang w:val="en-US" w:eastAsia="zh-CN"/>
        </w:rPr>
        <w:t>100</w:t>
      </w:r>
      <w:r>
        <w:rPr>
          <w:rFonts w:hint="eastAsia" w:ascii="仿宋_GB2312" w:hAnsi="ˎ̥" w:eastAsia="仿宋_GB2312"/>
          <w:color w:val="000000"/>
          <w:sz w:val="32"/>
          <w:szCs w:val="32"/>
          <w:highlight w:val="none"/>
          <w:u w:val="none"/>
        </w:rPr>
        <w:t>%</w:t>
      </w:r>
      <w:r>
        <w:rPr>
          <w:rFonts w:hint="eastAsia" w:ascii="仿宋_GB2312" w:hAnsi="ˎ̥" w:eastAsia="仿宋_GB2312"/>
          <w:color w:val="000000"/>
          <w:sz w:val="32"/>
          <w:szCs w:val="32"/>
          <w:highlight w:val="none"/>
          <w:u w:val="none"/>
          <w:lang w:eastAsia="zh-CN"/>
        </w:rPr>
        <w:t>，</w:t>
      </w:r>
      <w:r>
        <w:rPr>
          <w:rFonts w:hint="eastAsia" w:ascii="仿宋_GB2312" w:hAnsi="ˎ̥" w:eastAsia="仿宋_GB2312"/>
          <w:color w:val="000000"/>
          <w:sz w:val="32"/>
          <w:szCs w:val="32"/>
          <w:highlight w:val="none"/>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u w:val="none"/>
        </w:rPr>
      </w:pPr>
      <w:r>
        <w:rPr>
          <w:rFonts w:hint="eastAsia" w:ascii="楷体" w:hAnsi="楷体" w:eastAsia="楷体" w:cs="楷体"/>
          <w:color w:val="000000"/>
          <w:sz w:val="32"/>
          <w:szCs w:val="32"/>
          <w:highlight w:val="none"/>
          <w:u w:val="none"/>
        </w:rPr>
        <w:t>（三）政府性基金预算财政拨款支出决算具体情况。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color w:val="000000"/>
          <w:sz w:val="32"/>
          <w:szCs w:val="32"/>
          <w:highlight w:val="none"/>
          <w:u w:val="none"/>
        </w:rPr>
        <w:t>2022年度政府性基金预算财政拨款支出年初预算为</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万元，支出决算为</w:t>
      </w:r>
      <w:r>
        <w:rPr>
          <w:rFonts w:hint="eastAsia" w:ascii="仿宋_GB2312" w:hAnsi="ˎ̥" w:eastAsia="仿宋_GB2312"/>
          <w:color w:val="000000"/>
          <w:sz w:val="32"/>
          <w:szCs w:val="32"/>
          <w:highlight w:val="none"/>
          <w:u w:val="none"/>
          <w:lang w:val="en-US" w:eastAsia="zh-CN"/>
        </w:rPr>
        <w:t>18598.36</w:t>
      </w:r>
      <w:r>
        <w:rPr>
          <w:rFonts w:hint="eastAsia" w:ascii="仿宋_GB2312" w:hAnsi="ˎ̥" w:eastAsia="仿宋_GB2312"/>
          <w:color w:val="000000"/>
          <w:sz w:val="32"/>
          <w:szCs w:val="32"/>
          <w:highlight w:val="none"/>
          <w:u w:val="none"/>
        </w:rPr>
        <w:t>万元，完成年初预算的</w:t>
      </w:r>
      <w:r>
        <w:rPr>
          <w:rFonts w:hint="eastAsia" w:ascii="仿宋_GB2312" w:hAnsi="ˎ̥" w:eastAsia="仿宋_GB2312"/>
          <w:color w:val="000000"/>
          <w:sz w:val="32"/>
          <w:szCs w:val="32"/>
          <w:highlight w:val="none"/>
          <w:u w:val="none"/>
          <w:lang w:val="en-US" w:eastAsia="zh-CN"/>
        </w:rPr>
        <w:t>100</w:t>
      </w:r>
      <w:r>
        <w:rPr>
          <w:rFonts w:hint="eastAsia" w:ascii="仿宋_GB2312" w:hAnsi="ˎ̥" w:eastAsia="仿宋_GB2312"/>
          <w:color w:val="000000"/>
          <w:sz w:val="32"/>
          <w:szCs w:val="32"/>
          <w:highlight w:val="none"/>
          <w:u w:val="none"/>
        </w:rPr>
        <w:t>%。其中：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color w:val="000000"/>
          <w:sz w:val="32"/>
          <w:szCs w:val="32"/>
          <w:highlight w:val="none"/>
          <w:u w:val="none"/>
        </w:rPr>
        <w:t>1.其他支出</w:t>
      </w:r>
      <w:r>
        <w:rPr>
          <w:rFonts w:hint="eastAsia" w:ascii="仿宋_GB2312" w:hAnsi="ˎ̥" w:eastAsia="仿宋_GB2312"/>
          <w:b/>
          <w:color w:val="000000"/>
          <w:sz w:val="32"/>
          <w:szCs w:val="32"/>
          <w:highlight w:val="none"/>
          <w:u w:val="none"/>
        </w:rPr>
        <w:t>（类）</w:t>
      </w:r>
      <w:r>
        <w:rPr>
          <w:rFonts w:hint="eastAsia" w:ascii="仿宋_GB2312" w:hAnsi="ˎ̥" w:eastAsia="仿宋_GB2312"/>
          <w:b w:val="0"/>
          <w:bCs/>
          <w:color w:val="000000"/>
          <w:sz w:val="32"/>
          <w:szCs w:val="32"/>
          <w:highlight w:val="none"/>
          <w:u w:val="none"/>
        </w:rPr>
        <w:t>其他政府性基金及对应专项债务收入安排的支出</w:t>
      </w:r>
      <w:r>
        <w:rPr>
          <w:rFonts w:hint="eastAsia" w:ascii="仿宋_GB2312" w:hAnsi="ˎ̥" w:eastAsia="仿宋_GB2312"/>
          <w:b/>
          <w:color w:val="000000"/>
          <w:sz w:val="32"/>
          <w:szCs w:val="32"/>
          <w:highlight w:val="none"/>
          <w:u w:val="none"/>
        </w:rPr>
        <w:t>（款）</w:t>
      </w:r>
      <w:r>
        <w:rPr>
          <w:rFonts w:hint="eastAsia" w:ascii="仿宋_GB2312" w:hAnsi="ˎ̥" w:eastAsia="仿宋_GB2312"/>
          <w:color w:val="000000"/>
          <w:sz w:val="32"/>
          <w:szCs w:val="32"/>
          <w:highlight w:val="none"/>
          <w:u w:val="none"/>
        </w:rPr>
        <w:t>其他地方自行试点项目收益专项债券收入安排的支出</w:t>
      </w:r>
      <w:r>
        <w:rPr>
          <w:rFonts w:hint="eastAsia" w:ascii="仿宋_GB2312" w:hAnsi="ˎ̥" w:eastAsia="仿宋_GB2312"/>
          <w:b/>
          <w:color w:val="000000"/>
          <w:sz w:val="32"/>
          <w:szCs w:val="32"/>
          <w:highlight w:val="none"/>
          <w:u w:val="none"/>
        </w:rPr>
        <w:t>（项）</w:t>
      </w:r>
      <w:r>
        <w:rPr>
          <w:rFonts w:hint="eastAsia" w:ascii="仿宋_GB2312" w:hAnsi="ˎ̥" w:eastAsia="仿宋_GB2312"/>
          <w:color w:val="000000"/>
          <w:sz w:val="32"/>
          <w:szCs w:val="32"/>
          <w:highlight w:val="none"/>
          <w:u w:val="none"/>
        </w:rPr>
        <w:t>年初预算为</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万元，支出决算为</w:t>
      </w:r>
      <w:r>
        <w:rPr>
          <w:rFonts w:hint="eastAsia" w:ascii="仿宋_GB2312" w:hAnsi="ˎ̥" w:eastAsia="仿宋_GB2312"/>
          <w:color w:val="000000"/>
          <w:sz w:val="32"/>
          <w:szCs w:val="32"/>
          <w:highlight w:val="none"/>
          <w:u w:val="none"/>
          <w:lang w:val="en-US" w:eastAsia="zh-CN"/>
        </w:rPr>
        <w:t>18598.36</w:t>
      </w:r>
      <w:r>
        <w:rPr>
          <w:rFonts w:hint="eastAsia" w:ascii="仿宋_GB2312" w:hAnsi="ˎ̥" w:eastAsia="仿宋_GB2312"/>
          <w:color w:val="000000"/>
          <w:sz w:val="32"/>
          <w:szCs w:val="32"/>
          <w:highlight w:val="none"/>
          <w:u w:val="none"/>
        </w:rPr>
        <w:t>万元，完成年初预算的</w:t>
      </w:r>
      <w:r>
        <w:rPr>
          <w:rFonts w:hint="eastAsia" w:ascii="仿宋_GB2312" w:hAnsi="ˎ̥" w:eastAsia="仿宋_GB2312"/>
          <w:color w:val="000000"/>
          <w:sz w:val="32"/>
          <w:szCs w:val="32"/>
          <w:highlight w:val="none"/>
          <w:u w:val="none"/>
          <w:lang w:val="en-US" w:eastAsia="zh-CN"/>
        </w:rPr>
        <w:t>100</w:t>
      </w:r>
      <w:r>
        <w:rPr>
          <w:rFonts w:hint="eastAsia" w:ascii="仿宋_GB2312" w:hAnsi="ˎ̥" w:eastAsia="仿宋_GB2312"/>
          <w:color w:val="000000"/>
          <w:sz w:val="32"/>
          <w:szCs w:val="32"/>
          <w:highlight w:val="none"/>
          <w:u w:val="none"/>
        </w:rPr>
        <w:t>%。决算数大于预算数的主要原因：一是</w:t>
      </w:r>
      <w:r>
        <w:rPr>
          <w:rFonts w:hint="eastAsia" w:ascii="仿宋_GB2312" w:hAnsi="ˎ̥" w:eastAsia="仿宋_GB2312"/>
          <w:color w:val="000000"/>
          <w:sz w:val="32"/>
          <w:szCs w:val="32"/>
          <w:highlight w:val="none"/>
          <w:u w:val="none"/>
          <w:lang w:val="en-US" w:eastAsia="zh-CN"/>
        </w:rPr>
        <w:t>2022年增加了</w:t>
      </w:r>
      <w:r>
        <w:rPr>
          <w:rFonts w:hint="eastAsia" w:ascii="仿宋_GB2312" w:hAnsi="ˎ̥" w:eastAsia="仿宋_GB2312"/>
          <w:color w:val="000000"/>
          <w:sz w:val="32"/>
          <w:szCs w:val="32"/>
          <w:highlight w:val="none"/>
          <w:u w:val="none"/>
        </w:rPr>
        <w:t>其他地方自行试点项目收益专项债券收入安排的支出</w:t>
      </w:r>
      <w:r>
        <w:rPr>
          <w:rFonts w:hint="eastAsia" w:ascii="仿宋_GB2312" w:hAnsi="ˎ̥" w:eastAsia="仿宋_GB2312"/>
          <w:color w:val="000000"/>
          <w:sz w:val="32"/>
          <w:szCs w:val="32"/>
          <w:highlight w:val="none"/>
          <w:u w:val="none"/>
          <w:lang w:eastAsia="zh-CN"/>
        </w:rPr>
        <w:t>，主要用于新建二期门诊综合大楼建设项目</w:t>
      </w:r>
      <w:r>
        <w:rPr>
          <w:rFonts w:hint="eastAsia" w:ascii="仿宋_GB2312" w:hAnsi="ˎ̥" w:eastAsia="仿宋_GB2312"/>
          <w:color w:val="000000"/>
          <w:sz w:val="32"/>
          <w:szCs w:val="32"/>
          <w:highlight w:val="none"/>
          <w:u w:val="none"/>
          <w:lang w:val="en-US" w:eastAsia="zh-CN"/>
        </w:rPr>
        <w:t>1684.01万元，新建二期综合楼医疗设备采购项目11153.37万元，三亚中心医院高端CT等医疗设备采购项目5748.58万元，三亚市中心医院改扩建项目12.40万元</w:t>
      </w:r>
      <w:r>
        <w:rPr>
          <w:rFonts w:hint="eastAsia" w:ascii="仿宋_GB2312" w:hAnsi="ˎ̥" w:eastAsia="仿宋_GB2312"/>
          <w:color w:val="000000"/>
          <w:sz w:val="32"/>
          <w:szCs w:val="32"/>
          <w:highlight w:val="none"/>
          <w:u w:val="none"/>
        </w:rPr>
        <w:t xml:space="preserve">。  </w:t>
      </w:r>
    </w:p>
    <w:p>
      <w:pPr>
        <w:keepNext w:val="0"/>
        <w:keepLines w:val="0"/>
        <w:pageBreakBefore w:val="0"/>
        <w:tabs>
          <w:tab w:val="center" w:pos="4473"/>
        </w:tabs>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u w:val="none"/>
        </w:rPr>
      </w:pPr>
      <w:r>
        <w:rPr>
          <w:rFonts w:hint="eastAsia" w:ascii="黑体" w:hAnsi="黑体" w:eastAsia="黑体" w:cs="黑体"/>
          <w:bCs/>
          <w:color w:val="000000"/>
          <w:sz w:val="32"/>
          <w:szCs w:val="32"/>
          <w:highlight w:val="none"/>
          <w:u w:val="none"/>
        </w:rPr>
        <w:t>八、国有资本经营预算财政拨款支出决算情况说明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u w:val="none"/>
        </w:rPr>
      </w:pPr>
      <w:r>
        <w:rPr>
          <w:rFonts w:hint="eastAsia" w:ascii="楷体" w:hAnsi="楷体" w:eastAsia="楷体" w:cs="楷体"/>
          <w:color w:val="000000"/>
          <w:sz w:val="32"/>
          <w:szCs w:val="32"/>
          <w:highlight w:val="none"/>
          <w:u w:val="none"/>
        </w:rPr>
        <w:t>（一）国有资本经营预算财政拨款支出决算总体情况。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color w:val="000000"/>
          <w:sz w:val="32"/>
          <w:szCs w:val="32"/>
          <w:highlight w:val="none"/>
          <w:u w:val="none"/>
        </w:rPr>
        <w:t>2022年度国有资本经营预算财政拨款支出</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万元，占本年支出合计的</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%。与2021年度相比，国有资本经营预算财政拨款支出增加</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万元，增长</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%，主要原因是</w:t>
      </w:r>
      <w:r>
        <w:rPr>
          <w:rFonts w:hint="eastAsia" w:ascii="仿宋_GB2312" w:hAnsi="ˎ̥" w:eastAsia="仿宋_GB2312"/>
          <w:color w:val="000000"/>
          <w:sz w:val="32"/>
          <w:szCs w:val="32"/>
          <w:highlight w:val="none"/>
          <w:u w:val="none"/>
          <w:lang w:eastAsia="zh-CN"/>
        </w:rPr>
        <w:t>无</w:t>
      </w:r>
      <w:r>
        <w:rPr>
          <w:rFonts w:hint="eastAsia" w:ascii="仿宋_GB2312" w:hAnsi="ˎ̥" w:eastAsia="仿宋_GB2312"/>
          <w:color w:val="000000"/>
          <w:sz w:val="32"/>
          <w:szCs w:val="32"/>
          <w:highlight w:val="none"/>
          <w:u w:val="none"/>
        </w:rPr>
        <w:t>国有资本经营预算财政拨款支出。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u w:val="none"/>
        </w:rPr>
      </w:pPr>
      <w:r>
        <w:rPr>
          <w:rFonts w:hint="eastAsia" w:ascii="楷体" w:hAnsi="楷体" w:eastAsia="楷体" w:cs="楷体"/>
          <w:color w:val="000000"/>
          <w:sz w:val="32"/>
          <w:szCs w:val="32"/>
          <w:highlight w:val="none"/>
          <w:u w:val="none"/>
        </w:rPr>
        <w:t>（二）国有资本经营预算财政拨款支出决算结构情况。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color w:val="000000"/>
          <w:sz w:val="32"/>
          <w:szCs w:val="32"/>
          <w:highlight w:val="none"/>
          <w:u w:val="none"/>
        </w:rPr>
        <w:t>2022年度国有资本经营预算财政拨款支出</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u w:val="none"/>
        </w:rPr>
      </w:pPr>
      <w:r>
        <w:rPr>
          <w:rFonts w:hint="eastAsia" w:ascii="楷体" w:hAnsi="楷体" w:eastAsia="楷体" w:cs="楷体"/>
          <w:color w:val="000000"/>
          <w:sz w:val="32"/>
          <w:szCs w:val="32"/>
          <w:highlight w:val="none"/>
          <w:u w:val="none"/>
        </w:rPr>
        <w:t>（三）国有资本经营预算财政拨款支出决算具体情况。</w:t>
      </w:r>
    </w:p>
    <w:p>
      <w:pPr>
        <w:keepNext w:val="0"/>
        <w:keepLines w:val="0"/>
        <w:pageBreakBefore w:val="0"/>
        <w:tabs>
          <w:tab w:val="center" w:pos="4473"/>
        </w:tabs>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color w:val="000000"/>
          <w:sz w:val="32"/>
          <w:szCs w:val="32"/>
          <w:highlight w:val="none"/>
          <w:u w:val="none"/>
        </w:rPr>
        <w:t>2022年度国有资本经营预算财政拨款支出年初预算为</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万元，支出决算为</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万元，完成年初预算的</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w:t>
      </w: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仿宋_GB2312" w:hAnsi="ˎ̥" w:eastAsia="楷体_GB2312"/>
          <w:color w:val="000000"/>
          <w:sz w:val="32"/>
          <w:szCs w:val="32"/>
          <w:highlight w:val="none"/>
          <w:u w:val="none"/>
        </w:rPr>
      </w:pPr>
      <w:r>
        <w:rPr>
          <w:rFonts w:hint="eastAsia" w:ascii="黑体" w:hAnsi="黑体" w:eastAsia="黑体" w:cs="黑体"/>
          <w:bCs/>
          <w:color w:val="000000"/>
          <w:sz w:val="32"/>
          <w:szCs w:val="32"/>
          <w:highlight w:val="none"/>
          <w:u w:val="none"/>
        </w:rPr>
        <w:t>九、财政拨款“三公”经费支出决算情况说明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u w:val="none"/>
        </w:rPr>
      </w:pPr>
      <w:r>
        <w:rPr>
          <w:rFonts w:hint="eastAsia" w:ascii="楷体" w:hAnsi="楷体" w:eastAsia="楷体" w:cs="楷体"/>
          <w:bCs/>
          <w:color w:val="000000"/>
          <w:sz w:val="32"/>
          <w:szCs w:val="32"/>
          <w:highlight w:val="none"/>
          <w:u w:val="none"/>
        </w:rPr>
        <w:t>（一）财政拨款“三公”经费支出决算总体情况说明。</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ˎ̥" w:eastAsia="仿宋_GB2312"/>
          <w:color w:val="000000"/>
          <w:sz w:val="32"/>
          <w:szCs w:val="32"/>
          <w:highlight w:val="none"/>
          <w:u w:val="none"/>
        </w:rPr>
      </w:pPr>
      <w:r>
        <w:rPr>
          <w:rFonts w:hint="eastAsia" w:ascii="仿宋_GB2312" w:hAnsi="ˎ̥" w:eastAsia="仿宋_GB2312"/>
          <w:color w:val="000000"/>
          <w:sz w:val="32"/>
          <w:szCs w:val="32"/>
          <w:highlight w:val="none"/>
          <w:u w:val="none"/>
        </w:rPr>
        <w:t xml:space="preserve">    2022年度财政拨款“三公”经费支出预算为</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万元，支出决算为</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万元，完成预算的</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楷体" w:hAnsi="楷体" w:eastAsia="楷体" w:cs="楷体"/>
          <w:color w:val="000000"/>
          <w:sz w:val="32"/>
          <w:szCs w:val="32"/>
          <w:highlight w:val="none"/>
          <w:u w:val="none"/>
        </w:rPr>
      </w:pPr>
      <w:r>
        <w:rPr>
          <w:rFonts w:hint="eastAsia" w:ascii="楷体" w:hAnsi="楷体" w:eastAsia="楷体" w:cs="楷体"/>
          <w:b/>
          <w:bCs/>
          <w:color w:val="000000"/>
          <w:sz w:val="32"/>
          <w:szCs w:val="32"/>
          <w:highlight w:val="none"/>
          <w:u w:val="none"/>
        </w:rPr>
        <w:t xml:space="preserve">   </w:t>
      </w:r>
      <w:r>
        <w:rPr>
          <w:rFonts w:hint="eastAsia" w:ascii="楷体" w:hAnsi="楷体" w:eastAsia="楷体" w:cs="楷体"/>
          <w:color w:val="000000"/>
          <w:sz w:val="32"/>
          <w:szCs w:val="32"/>
          <w:highlight w:val="none"/>
          <w:u w:val="none"/>
        </w:rPr>
        <w:t xml:space="preserve"> （二）财政拨款“三公”经费支出决算具体情况说明。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color w:val="000000"/>
          <w:sz w:val="32"/>
          <w:szCs w:val="32"/>
          <w:highlight w:val="none"/>
          <w:u w:val="none"/>
        </w:rPr>
        <w:t>2022年度财政拨款“三公”经费支出决算中，因公出国（境）费支出决算</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万元，占</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%；公务用车购置及运行维护费支出决算</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万元，占</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%；公务接待费支出决算</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万元，占</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%。具体情况如下：</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b/>
          <w:color w:val="000000"/>
          <w:sz w:val="32"/>
          <w:szCs w:val="32"/>
          <w:highlight w:val="none"/>
          <w:u w:val="none"/>
        </w:rPr>
        <w:t>1.因公出国（境）费</w:t>
      </w:r>
      <w:r>
        <w:rPr>
          <w:rFonts w:hint="eastAsia" w:ascii="仿宋_GB2312" w:hAnsi="ˎ̥" w:eastAsia="仿宋_GB2312"/>
          <w:color w:val="000000"/>
          <w:sz w:val="32"/>
          <w:szCs w:val="32"/>
          <w:highlight w:val="none"/>
          <w:u w:val="none"/>
        </w:rPr>
        <w:t>支出</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b/>
          <w:color w:val="000000"/>
          <w:sz w:val="32"/>
          <w:szCs w:val="32"/>
          <w:highlight w:val="none"/>
          <w:u w:val="none"/>
        </w:rPr>
        <w:t>2.公务用车购置及运行维护费支出</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color w:val="000000"/>
          <w:sz w:val="32"/>
          <w:szCs w:val="32"/>
          <w:highlight w:val="none"/>
          <w:u w:val="none"/>
        </w:rPr>
      </w:pPr>
      <w:r>
        <w:rPr>
          <w:rFonts w:hint="eastAsia" w:ascii="仿宋_GB2312" w:hAnsi="ˎ̥" w:eastAsia="仿宋_GB2312"/>
          <w:b/>
          <w:color w:val="000000"/>
          <w:sz w:val="32"/>
          <w:szCs w:val="32"/>
          <w:highlight w:val="none"/>
          <w:u w:val="none"/>
        </w:rPr>
        <w:t>3.公务接待费支出</w:t>
      </w:r>
      <w:r>
        <w:rPr>
          <w:rFonts w:hint="eastAsia" w:ascii="仿宋_GB2312" w:hAnsi="ˎ̥" w:eastAsia="仿宋_GB2312"/>
          <w:color w:val="000000"/>
          <w:sz w:val="32"/>
          <w:szCs w:val="32"/>
          <w:highlight w:val="none"/>
          <w:u w:val="none"/>
          <w:lang w:val="en-US" w:eastAsia="zh-CN"/>
        </w:rPr>
        <w:t>0</w:t>
      </w:r>
      <w:r>
        <w:rPr>
          <w:rFonts w:hint="eastAsia" w:ascii="仿宋_GB2312" w:hAnsi="ˎ̥" w:eastAsia="仿宋_GB2312"/>
          <w:color w:val="000000"/>
          <w:sz w:val="32"/>
          <w:szCs w:val="32"/>
          <w:highlight w:val="none"/>
          <w:u w:val="none"/>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color w:val="000000"/>
          <w:sz w:val="32"/>
          <w:szCs w:val="32"/>
          <w:highlight w:val="none"/>
          <w:u w:val="none"/>
        </w:rPr>
      </w:pPr>
      <w:r>
        <w:rPr>
          <w:rFonts w:hint="eastAsia" w:ascii="黑体" w:hAnsi="黑体" w:eastAsia="黑体" w:cs="黑体"/>
          <w:bCs/>
          <w:color w:val="000000"/>
          <w:sz w:val="32"/>
          <w:szCs w:val="32"/>
          <w:highlight w:val="none"/>
          <w:u w:val="none"/>
        </w:rPr>
        <w:t>十、预算绩效情况说明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color w:val="000000"/>
          <w:sz w:val="32"/>
          <w:szCs w:val="32"/>
          <w:highlight w:val="none"/>
          <w:u w:val="none"/>
        </w:rPr>
      </w:pPr>
      <w:r>
        <w:rPr>
          <w:rFonts w:hint="eastAsia" w:ascii="楷体" w:hAnsi="楷体" w:eastAsia="楷体" w:cs="楷体"/>
          <w:b w:val="0"/>
          <w:bCs/>
          <w:color w:val="000000"/>
          <w:sz w:val="32"/>
          <w:szCs w:val="32"/>
          <w:highlight w:val="none"/>
          <w:u w:val="none"/>
          <w:lang w:eastAsia="zh-CN"/>
        </w:rPr>
        <w:t>（一）</w:t>
      </w:r>
      <w:r>
        <w:rPr>
          <w:rFonts w:hint="eastAsia" w:ascii="楷体" w:hAnsi="楷体" w:eastAsia="楷体" w:cs="楷体"/>
          <w:b w:val="0"/>
          <w:bCs/>
          <w:color w:val="000000"/>
          <w:sz w:val="32"/>
          <w:szCs w:val="32"/>
          <w:highlight w:val="none"/>
          <w:u w:val="none"/>
        </w:rPr>
        <w:t>绩效管理工作开展情况。</w:t>
      </w:r>
    </w:p>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color w:val="000000"/>
          <w:sz w:val="32"/>
          <w:szCs w:val="32"/>
          <w:highlight w:val="none"/>
          <w:u w:val="none"/>
        </w:rPr>
      </w:pPr>
      <w:r>
        <w:rPr>
          <w:rFonts w:hint="eastAsia" w:ascii="仿宋_GB2312" w:eastAsia="仿宋_GB2312"/>
          <w:color w:val="000000"/>
          <w:sz w:val="32"/>
          <w:szCs w:val="32"/>
          <w:highlight w:val="none"/>
          <w:u w:val="none"/>
        </w:rPr>
        <w:t>根据财政预算</w:t>
      </w:r>
      <w:r>
        <w:rPr>
          <w:rFonts w:hint="eastAsia" w:ascii="仿宋_GB2312" w:eastAsia="仿宋_GB2312"/>
          <w:color w:val="000000"/>
          <w:sz w:val="32"/>
          <w:szCs w:val="32"/>
          <w:highlight w:val="none"/>
          <w:u w:val="none"/>
          <w:lang w:eastAsia="zh-CN"/>
        </w:rPr>
        <w:t>绩效</w:t>
      </w:r>
      <w:r>
        <w:rPr>
          <w:rFonts w:hint="eastAsia" w:ascii="仿宋_GB2312" w:eastAsia="仿宋_GB2312"/>
          <w:color w:val="000000"/>
          <w:sz w:val="32"/>
          <w:szCs w:val="32"/>
          <w:highlight w:val="none"/>
          <w:u w:val="none"/>
        </w:rPr>
        <w:t>管理要求，</w:t>
      </w:r>
      <w:r>
        <w:rPr>
          <w:rFonts w:hint="eastAsia" w:ascii="仿宋_GB2312" w:eastAsia="仿宋_GB2312"/>
          <w:color w:val="000000"/>
          <w:sz w:val="32"/>
          <w:szCs w:val="32"/>
          <w:highlight w:val="none"/>
          <w:u w:val="none"/>
          <w:lang w:eastAsia="zh-CN"/>
        </w:rPr>
        <w:t>可</w:t>
      </w:r>
      <w:r>
        <w:rPr>
          <w:rFonts w:hint="eastAsia" w:ascii="仿宋_GB2312" w:eastAsia="仿宋_GB2312"/>
          <w:color w:val="000000"/>
          <w:sz w:val="32"/>
          <w:szCs w:val="32"/>
          <w:highlight w:val="none"/>
          <w:u w:val="none"/>
        </w:rPr>
        <w:t>按照如下格式说明：根据预算管理要求，我部门（单位）组织对</w:t>
      </w:r>
      <w:r>
        <w:rPr>
          <w:rFonts w:hint="eastAsia" w:ascii="仿宋_GB2312" w:eastAsia="仿宋_GB2312"/>
          <w:color w:val="000000"/>
          <w:sz w:val="32"/>
          <w:szCs w:val="32"/>
          <w:highlight w:val="none"/>
          <w:u w:val="none"/>
          <w:lang w:eastAsia="zh-CN"/>
        </w:rPr>
        <w:t>202</w:t>
      </w:r>
      <w:r>
        <w:rPr>
          <w:rFonts w:hint="eastAsia" w:ascii="仿宋_GB2312" w:eastAsia="仿宋_GB2312"/>
          <w:color w:val="000000"/>
          <w:sz w:val="32"/>
          <w:szCs w:val="32"/>
          <w:highlight w:val="none"/>
          <w:u w:val="none"/>
          <w:lang w:val="en-US" w:eastAsia="zh-CN"/>
        </w:rPr>
        <w:t>2</w:t>
      </w:r>
      <w:r>
        <w:rPr>
          <w:rFonts w:hint="eastAsia" w:ascii="仿宋_GB2312" w:eastAsia="仿宋_GB2312"/>
          <w:color w:val="000000"/>
          <w:sz w:val="32"/>
          <w:szCs w:val="32"/>
          <w:highlight w:val="none"/>
          <w:u w:val="none"/>
          <w:lang w:eastAsia="zh-CN"/>
        </w:rPr>
        <w:t>年度</w:t>
      </w:r>
      <w:r>
        <w:rPr>
          <w:rFonts w:hint="eastAsia" w:ascii="仿宋_GB2312" w:eastAsia="仿宋_GB2312"/>
          <w:color w:val="000000"/>
          <w:sz w:val="32"/>
          <w:szCs w:val="32"/>
          <w:highlight w:val="none"/>
          <w:u w:val="none"/>
        </w:rPr>
        <w:t>一般公共预算项目支出全面开展绩效自评。</w:t>
      </w:r>
      <w:r>
        <w:rPr>
          <w:rFonts w:hint="eastAsia" w:ascii="仿宋_GB2312" w:hAnsi="Times New Roman" w:eastAsia="仿宋_GB2312" w:cs="Times New Roman"/>
          <w:color w:val="000000"/>
          <w:kern w:val="2"/>
          <w:sz w:val="32"/>
          <w:szCs w:val="32"/>
          <w:highlight w:val="none"/>
          <w:u w:val="none"/>
          <w:lang w:val="en-US" w:eastAsia="zh-CN" w:bidi="ar"/>
        </w:rPr>
        <w:t>其中，自评项目16个，共涉及资金21908.03万元，占一般公共预算项目支出总额的107.94%。组织对2022年度</w:t>
      </w:r>
      <w:r>
        <w:rPr>
          <w:rFonts w:hint="eastAsia" w:ascii="仿宋_GB2312" w:hAnsi="ˎ̥" w:eastAsia="仿宋_GB2312"/>
          <w:color w:val="000000"/>
          <w:sz w:val="32"/>
          <w:szCs w:val="32"/>
          <w:highlight w:val="none"/>
          <w:u w:val="none"/>
          <w:lang w:eastAsia="zh-CN"/>
        </w:rPr>
        <w:t>新建二期门诊综合大楼建设项目</w:t>
      </w:r>
      <w:r>
        <w:rPr>
          <w:rFonts w:hint="eastAsia" w:ascii="仿宋_GB2312" w:hAnsi="ˎ̥" w:eastAsia="仿宋_GB2312"/>
          <w:color w:val="000000"/>
          <w:sz w:val="32"/>
          <w:szCs w:val="32"/>
          <w:highlight w:val="none"/>
          <w:u w:val="none"/>
          <w:lang w:val="en-US" w:eastAsia="zh-CN"/>
        </w:rPr>
        <w:t>、新建二期综合楼医疗设备采购项目、三亚中心医院高端CT等医疗设备采购项目、三亚市中心医院改扩建项目</w:t>
      </w:r>
      <w:r>
        <w:rPr>
          <w:rFonts w:hint="eastAsia" w:ascii="仿宋_GB2312" w:hAnsi="Times New Roman" w:eastAsia="仿宋_GB2312" w:cs="Times New Roman"/>
          <w:color w:val="000000"/>
          <w:kern w:val="2"/>
          <w:sz w:val="32"/>
          <w:szCs w:val="32"/>
          <w:highlight w:val="none"/>
          <w:u w:val="none"/>
          <w:lang w:val="en-US" w:eastAsia="zh-CN" w:bidi="ar"/>
        </w:rPr>
        <w:t>等4个政府性基金预算项目开展绩效自评，共涉及资金19240.61万元</w:t>
      </w:r>
      <w:r>
        <w:rPr>
          <w:rFonts w:hint="eastAsia" w:ascii="仿宋_GB2312" w:eastAsia="仿宋_GB2312" w:cs="Times New Roman"/>
          <w:color w:val="000000"/>
          <w:kern w:val="2"/>
          <w:sz w:val="32"/>
          <w:szCs w:val="32"/>
          <w:highlight w:val="none"/>
          <w:u w:val="none"/>
          <w:lang w:val="en-US" w:eastAsia="zh-CN" w:bidi="ar"/>
        </w:rPr>
        <w:t>，</w:t>
      </w:r>
      <w:r>
        <w:rPr>
          <w:rFonts w:hint="eastAsia" w:ascii="仿宋_GB2312" w:hAnsi="Times New Roman" w:eastAsia="仿宋_GB2312" w:cs="Times New Roman"/>
          <w:color w:val="000000"/>
          <w:kern w:val="2"/>
          <w:sz w:val="32"/>
          <w:szCs w:val="32"/>
          <w:highlight w:val="none"/>
          <w:u w:val="none"/>
          <w:lang w:val="en-US" w:eastAsia="zh-CN" w:bidi="ar"/>
        </w:rPr>
        <w:t>占政府性基金预算项目支出总额的103.45%。</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000000"/>
          <w:sz w:val="32"/>
          <w:szCs w:val="32"/>
          <w:highlight w:val="none"/>
          <w:u w:val="none"/>
        </w:rPr>
      </w:pPr>
      <w:r>
        <w:rPr>
          <w:rFonts w:hint="eastAsia" w:ascii="仿宋_GB2312" w:eastAsia="仿宋_GB2312"/>
          <w:color w:val="000000"/>
          <w:sz w:val="32"/>
          <w:szCs w:val="32"/>
          <w:highlight w:val="none"/>
          <w:u w:val="none"/>
        </w:rPr>
        <w:t>共组织对“</w:t>
      </w:r>
      <w:r>
        <w:rPr>
          <w:rFonts w:hint="eastAsia" w:ascii="仿宋_GB2312" w:hAnsi="ˎ̥" w:eastAsia="仿宋_GB2312"/>
          <w:color w:val="000000"/>
          <w:sz w:val="32"/>
          <w:szCs w:val="32"/>
          <w:highlight w:val="none"/>
          <w:u w:val="none"/>
          <w:lang w:eastAsia="zh-CN"/>
        </w:rPr>
        <w:t>新建二期门诊综合大楼建设项目</w:t>
      </w:r>
      <w:r>
        <w:rPr>
          <w:rFonts w:hint="eastAsia" w:ascii="仿宋_GB2312" w:eastAsia="仿宋_GB2312"/>
          <w:color w:val="000000"/>
          <w:sz w:val="32"/>
          <w:szCs w:val="32"/>
          <w:highlight w:val="none"/>
          <w:u w:val="none"/>
        </w:rPr>
        <w:t>”等</w:t>
      </w:r>
      <w:r>
        <w:rPr>
          <w:rFonts w:hint="eastAsia" w:ascii="仿宋_GB2312" w:eastAsia="仿宋_GB2312"/>
          <w:color w:val="000000"/>
          <w:sz w:val="32"/>
          <w:szCs w:val="32"/>
          <w:highlight w:val="none"/>
          <w:u w:val="none"/>
          <w:lang w:val="en-US" w:eastAsia="zh-CN"/>
        </w:rPr>
        <w:t>20</w:t>
      </w:r>
      <w:r>
        <w:rPr>
          <w:rFonts w:hint="eastAsia" w:ascii="仿宋_GB2312" w:eastAsia="仿宋_GB2312"/>
          <w:color w:val="000000"/>
          <w:sz w:val="32"/>
          <w:szCs w:val="32"/>
          <w:highlight w:val="none"/>
          <w:u w:val="none"/>
        </w:rPr>
        <w:t>个项目</w:t>
      </w:r>
      <w:r>
        <w:rPr>
          <w:rFonts w:hint="eastAsia" w:ascii="仿宋_GB2312" w:eastAsia="仿宋_GB2312"/>
          <w:color w:val="000000"/>
          <w:sz w:val="32"/>
          <w:szCs w:val="32"/>
          <w:highlight w:val="none"/>
          <w:u w:val="none"/>
          <w:lang w:eastAsia="zh-CN"/>
        </w:rPr>
        <w:t>开展了部门</w:t>
      </w:r>
      <w:r>
        <w:rPr>
          <w:rFonts w:hint="eastAsia" w:ascii="仿宋_GB2312" w:eastAsia="仿宋_GB2312"/>
          <w:color w:val="000000"/>
          <w:sz w:val="32"/>
          <w:szCs w:val="32"/>
          <w:highlight w:val="none"/>
          <w:u w:val="none"/>
        </w:rPr>
        <w:t>评价，</w:t>
      </w:r>
      <w:r>
        <w:rPr>
          <w:rFonts w:hint="eastAsia" w:ascii="仿宋_GB2312" w:hAnsi="Times New Roman" w:eastAsia="仿宋_GB2312" w:cs="Times New Roman"/>
          <w:color w:val="000000"/>
          <w:kern w:val="2"/>
          <w:sz w:val="32"/>
          <w:szCs w:val="32"/>
          <w:highlight w:val="none"/>
          <w:u w:val="none"/>
          <w:lang w:val="en-US" w:eastAsia="zh-CN" w:bidi="ar"/>
        </w:rPr>
        <w:t>涉及一般公共预算支出21908.03万元，政府性基金预算支出19240.61万元，</w:t>
      </w:r>
      <w:r>
        <w:rPr>
          <w:rFonts w:hint="eastAsia" w:ascii="仿宋_GB2312" w:eastAsia="仿宋_GB2312"/>
          <w:color w:val="000000"/>
          <w:sz w:val="32"/>
          <w:szCs w:val="32"/>
          <w:highlight w:val="none"/>
          <w:u w:val="none"/>
          <w:lang w:eastAsia="zh-CN"/>
        </w:rPr>
        <w:t>完成部门</w:t>
      </w:r>
      <w:r>
        <w:rPr>
          <w:rFonts w:hint="eastAsia" w:ascii="仿宋_GB2312" w:eastAsia="仿宋_GB2312"/>
          <w:color w:val="000000"/>
          <w:sz w:val="32"/>
          <w:szCs w:val="32"/>
          <w:highlight w:val="none"/>
          <w:u w:val="none"/>
        </w:rPr>
        <w:t>整体支出绩效评价，</w:t>
      </w:r>
      <w:r>
        <w:rPr>
          <w:rFonts w:hint="eastAsia" w:ascii="仿宋_GB2312" w:hAnsi="Times New Roman" w:eastAsia="仿宋_GB2312" w:cs="Times New Roman"/>
          <w:color w:val="000000"/>
          <w:kern w:val="2"/>
          <w:sz w:val="32"/>
          <w:szCs w:val="32"/>
          <w:highlight w:val="none"/>
          <w:u w:val="none"/>
          <w:lang w:val="en-US" w:eastAsia="zh-CN" w:bidi="ar"/>
        </w:rPr>
        <w:t>涉及一般公共预算支出21908.03万元，政府性基金预算支出19240.61万元。</w:t>
      </w:r>
    </w:p>
    <w:p>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color w:val="000000"/>
          <w:sz w:val="32"/>
          <w:szCs w:val="32"/>
          <w:highlight w:val="none"/>
          <w:u w:val="none"/>
        </w:rPr>
      </w:pPr>
      <w:r>
        <w:rPr>
          <w:rFonts w:hint="eastAsia" w:ascii="楷体" w:hAnsi="楷体" w:eastAsia="楷体" w:cs="楷体"/>
          <w:b w:val="0"/>
          <w:bCs/>
          <w:color w:val="000000"/>
          <w:sz w:val="32"/>
          <w:szCs w:val="32"/>
          <w:highlight w:val="none"/>
          <w:u w:val="none"/>
        </w:rPr>
        <w:t>部门决算中项目绩效自评结果</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highlight w:val="none"/>
          <w:u w:val="none"/>
          <w:lang w:val="en-US" w:eastAsia="zh-CN"/>
        </w:rPr>
      </w:pPr>
      <w:r>
        <w:rPr>
          <w:rFonts w:hint="eastAsia" w:ascii="仿宋_GB2312" w:eastAsia="仿宋_GB2312"/>
          <w:color w:val="000000"/>
          <w:sz w:val="32"/>
          <w:szCs w:val="32"/>
          <w:highlight w:val="none"/>
          <w:u w:val="none"/>
          <w:lang w:val="en-US" w:eastAsia="zh-CN"/>
        </w:rPr>
        <w:t>三亚市财政局对我单位开展2022年重点项目绩效评价，在部门决算中反映2022年三亚中心医院改扩建项目和高端CT等医疗设备采购项目项目绩效自评结果（包括项目绩效自评表和项目绩效自评报告）。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highlight w:val="none"/>
          <w:u w:val="none"/>
          <w:lang w:val="en-US" w:eastAsia="zh-CN"/>
        </w:rPr>
      </w:pPr>
      <w:r>
        <w:rPr>
          <w:rFonts w:hint="eastAsia" w:ascii="仿宋_GB2312" w:eastAsia="仿宋_GB2312"/>
          <w:color w:val="000000"/>
          <w:sz w:val="32"/>
          <w:szCs w:val="32"/>
          <w:highlight w:val="none"/>
          <w:u w:val="none"/>
          <w:lang w:val="en-US" w:eastAsia="zh-CN"/>
        </w:rPr>
        <w:t>2022年三亚中心医院改扩建项目和高端CT等医疗设备采购项目项目绩效自评表：</w:t>
      </w:r>
    </w:p>
    <w:p>
      <w:pPr>
        <w:ind w:firstLine="640" w:firstLineChars="200"/>
        <w:jc w:val="left"/>
        <w:rPr>
          <w:rFonts w:hint="eastAsia" w:ascii="仿宋_GB2312" w:hAnsi="仿宋_GB2312" w:eastAsia="仿宋_GB2312" w:cs="仿宋_GB2312"/>
          <w:color w:val="000000"/>
          <w:sz w:val="32"/>
          <w:szCs w:val="32"/>
          <w:u w:val="none"/>
          <w:lang w:val="en-US" w:eastAsia="zh-CN"/>
        </w:rPr>
      </w:pPr>
      <w:r>
        <w:rPr>
          <w:rFonts w:hint="eastAsia" w:ascii="仿宋_GB2312" w:eastAsia="仿宋_GB2312"/>
          <w:color w:val="000000"/>
          <w:sz w:val="32"/>
          <w:szCs w:val="32"/>
          <w:highlight w:val="none"/>
          <w:u w:val="none"/>
          <w:lang w:val="en-US" w:eastAsia="zh-CN"/>
        </w:rPr>
        <w:t>2022年三亚中心医院改扩建项目和高端CT等医疗设备采购项目</w:t>
      </w:r>
      <w:r>
        <w:rPr>
          <w:rFonts w:hint="eastAsia" w:ascii="仿宋_GB2312" w:eastAsia="仿宋_GB2312"/>
          <w:color w:val="000000"/>
          <w:sz w:val="32"/>
          <w:szCs w:val="32"/>
          <w:highlight w:val="none"/>
          <w:u w:val="none"/>
          <w:lang w:eastAsia="zh-CN"/>
        </w:rPr>
        <w:t>项目绩效自评报告：</w:t>
      </w:r>
      <w:r>
        <w:rPr>
          <w:rFonts w:hint="eastAsia" w:ascii="仿宋_GB2312" w:eastAsia="仿宋_GB2312"/>
          <w:color w:val="000000"/>
          <w:sz w:val="32"/>
          <w:szCs w:val="32"/>
          <w:highlight w:val="none"/>
          <w:u w:val="none"/>
        </w:rPr>
        <w:t>根据年初设定的绩效目标，项目</w:t>
      </w:r>
      <w:r>
        <w:rPr>
          <w:rFonts w:hint="eastAsia" w:ascii="仿宋_GB2312" w:eastAsia="仿宋_GB2312"/>
          <w:color w:val="000000"/>
          <w:sz w:val="32"/>
          <w:szCs w:val="32"/>
          <w:highlight w:val="none"/>
          <w:u w:val="none"/>
          <w:lang w:eastAsia="zh-CN"/>
        </w:rPr>
        <w:t>绩效</w:t>
      </w:r>
      <w:r>
        <w:rPr>
          <w:rFonts w:hint="eastAsia" w:ascii="仿宋_GB2312" w:eastAsia="仿宋_GB2312"/>
          <w:color w:val="000000"/>
          <w:sz w:val="32"/>
          <w:szCs w:val="32"/>
          <w:highlight w:val="none"/>
          <w:u w:val="none"/>
        </w:rPr>
        <w:t>自评得分为94.25分</w:t>
      </w:r>
      <w:r>
        <w:rPr>
          <w:rFonts w:hint="eastAsia" w:ascii="仿宋_GB2312" w:eastAsia="仿宋_GB2312"/>
          <w:color w:val="000000"/>
          <w:sz w:val="32"/>
          <w:szCs w:val="32"/>
          <w:highlight w:val="none"/>
          <w:u w:val="none"/>
          <w:lang w:eastAsia="zh-CN"/>
        </w:rPr>
        <w:t>。全年预算数为</w:t>
      </w:r>
      <w:r>
        <w:rPr>
          <w:rFonts w:hint="eastAsia" w:ascii="仿宋_GB2312" w:eastAsia="仿宋_GB2312"/>
          <w:color w:val="000000"/>
          <w:sz w:val="32"/>
          <w:szCs w:val="32"/>
          <w:highlight w:val="none"/>
          <w:u w:val="none"/>
          <w:lang w:val="en-US" w:eastAsia="zh-CN"/>
        </w:rPr>
        <w:t>21703.78</w:t>
      </w:r>
      <w:r>
        <w:rPr>
          <w:rFonts w:hint="eastAsia" w:ascii="仿宋_GB2312" w:eastAsia="仿宋_GB2312"/>
          <w:color w:val="000000"/>
          <w:sz w:val="32"/>
          <w:szCs w:val="32"/>
          <w:highlight w:val="none"/>
          <w:u w:val="none"/>
          <w:lang w:eastAsia="zh-CN"/>
        </w:rPr>
        <w:t>万元，执行数为</w:t>
      </w:r>
      <w:r>
        <w:rPr>
          <w:rFonts w:hint="eastAsia" w:ascii="仿宋_GB2312" w:eastAsia="仿宋_GB2312"/>
          <w:color w:val="000000"/>
          <w:sz w:val="32"/>
          <w:szCs w:val="32"/>
          <w:highlight w:val="none"/>
          <w:u w:val="none"/>
          <w:lang w:val="en-US" w:eastAsia="zh-CN"/>
        </w:rPr>
        <w:t>21703.78</w:t>
      </w:r>
      <w:r>
        <w:rPr>
          <w:rFonts w:hint="eastAsia" w:ascii="仿宋_GB2312" w:eastAsia="仿宋_GB2312"/>
          <w:color w:val="000000"/>
          <w:sz w:val="32"/>
          <w:szCs w:val="32"/>
          <w:highlight w:val="none"/>
          <w:u w:val="none"/>
          <w:lang w:eastAsia="zh-CN"/>
        </w:rPr>
        <w:t>万元，完成预算的</w:t>
      </w:r>
      <w:r>
        <w:rPr>
          <w:rFonts w:hint="eastAsia" w:ascii="仿宋_GB2312" w:eastAsia="仿宋_GB2312"/>
          <w:color w:val="000000"/>
          <w:sz w:val="32"/>
          <w:szCs w:val="32"/>
          <w:highlight w:val="none"/>
          <w:u w:val="none"/>
          <w:lang w:val="en-US" w:eastAsia="zh-CN"/>
        </w:rPr>
        <w:t>100%。项目绩效目标完成情况：</w:t>
      </w:r>
      <w:r>
        <w:rPr>
          <w:rFonts w:hint="eastAsia" w:ascii="仿宋_GB2312" w:hAnsi="仿宋_GB2312" w:eastAsia="仿宋_GB2312" w:cs="仿宋_GB2312"/>
          <w:color w:val="000000"/>
          <w:sz w:val="32"/>
          <w:szCs w:val="32"/>
          <w:u w:val="none"/>
        </w:rPr>
        <w:t>一、改扩建</w:t>
      </w:r>
      <w:r>
        <w:rPr>
          <w:rFonts w:hint="eastAsia" w:ascii="仿宋_GB2312" w:hAnsi="仿宋_GB2312" w:eastAsia="仿宋_GB2312" w:cs="仿宋_GB2312"/>
          <w:color w:val="000000"/>
          <w:sz w:val="32"/>
          <w:szCs w:val="32"/>
          <w:highlight w:val="none"/>
          <w:u w:val="none"/>
        </w:rPr>
        <w:t>项目（一期）：</w:t>
      </w:r>
      <w:r>
        <w:rPr>
          <w:rFonts w:hint="eastAsia" w:ascii="仿宋_GB2312" w:hAnsi="仿宋_GB2312" w:eastAsia="仿宋_GB2312" w:cs="仿宋_GB2312"/>
          <w:color w:val="000000"/>
          <w:sz w:val="32"/>
          <w:szCs w:val="32"/>
          <w:highlight w:val="none"/>
          <w:u w:val="none"/>
          <w:lang w:val="en-US" w:eastAsia="zh-CN"/>
        </w:rPr>
        <w:t>未完成</w:t>
      </w:r>
      <w:r>
        <w:rPr>
          <w:rFonts w:hint="eastAsia" w:ascii="仿宋_GB2312" w:hAnsi="仿宋_GB2312" w:eastAsia="仿宋_GB2312" w:cs="仿宋_GB2312"/>
          <w:color w:val="000000"/>
          <w:sz w:val="32"/>
          <w:szCs w:val="32"/>
          <w:highlight w:val="none"/>
          <w:u w:val="none"/>
          <w:lang w:eastAsia="zh-CN"/>
        </w:rPr>
        <w:t>东方海景大酒店</w:t>
      </w:r>
      <w:r>
        <w:rPr>
          <w:rFonts w:hint="eastAsia" w:ascii="仿宋_GB2312" w:hAnsi="仿宋_GB2312" w:eastAsia="仿宋_GB2312" w:cs="仿宋_GB2312"/>
          <w:color w:val="000000"/>
          <w:sz w:val="32"/>
          <w:szCs w:val="32"/>
          <w:highlight w:val="none"/>
          <w:u w:val="none"/>
        </w:rPr>
        <w:t>及现状门诊等16栋建筑物</w:t>
      </w:r>
      <w:r>
        <w:rPr>
          <w:rFonts w:hint="eastAsia" w:ascii="仿宋_GB2312" w:hAnsi="仿宋_GB2312" w:eastAsia="仿宋_GB2312" w:cs="仿宋_GB2312"/>
          <w:color w:val="000000"/>
          <w:sz w:val="32"/>
          <w:szCs w:val="32"/>
          <w:highlight w:val="none"/>
          <w:u w:val="none"/>
          <w:lang w:val="en-US" w:eastAsia="zh-CN"/>
        </w:rPr>
        <w:t>的</w:t>
      </w:r>
      <w:r>
        <w:rPr>
          <w:rFonts w:hint="eastAsia" w:ascii="仿宋_GB2312" w:hAnsi="仿宋_GB2312" w:eastAsia="仿宋_GB2312" w:cs="仿宋_GB2312"/>
          <w:color w:val="000000"/>
          <w:sz w:val="32"/>
          <w:szCs w:val="32"/>
          <w:highlight w:val="none"/>
          <w:u w:val="none"/>
        </w:rPr>
        <w:t>拆除</w:t>
      </w:r>
      <w:r>
        <w:rPr>
          <w:rFonts w:hint="eastAsia" w:ascii="仿宋_GB2312" w:hAnsi="仿宋_GB2312" w:eastAsia="仿宋_GB2312" w:cs="仿宋_GB2312"/>
          <w:color w:val="000000"/>
          <w:sz w:val="32"/>
          <w:szCs w:val="32"/>
          <w:highlight w:val="none"/>
          <w:u w:val="none"/>
          <w:lang w:val="en-US" w:eastAsia="zh-CN"/>
        </w:rPr>
        <w:t>工作</w:t>
      </w:r>
      <w:r>
        <w:rPr>
          <w:rFonts w:hint="eastAsia" w:ascii="仿宋_GB2312" w:hAnsi="仿宋_GB2312" w:eastAsia="仿宋_GB2312" w:cs="仿宋_GB2312"/>
          <w:color w:val="000000"/>
          <w:sz w:val="32"/>
          <w:szCs w:val="32"/>
          <w:highlight w:val="none"/>
          <w:u w:val="none"/>
        </w:rPr>
        <w:t>；</w:t>
      </w:r>
      <w:r>
        <w:rPr>
          <w:rFonts w:hint="eastAsia" w:ascii="仿宋_GB2312" w:hAnsi="仿宋_GB2312" w:eastAsia="仿宋_GB2312" w:cs="仿宋_GB2312"/>
          <w:color w:val="000000"/>
          <w:sz w:val="32"/>
          <w:szCs w:val="32"/>
          <w:u w:val="none"/>
          <w:lang w:val="en-US" w:eastAsia="zh-CN"/>
        </w:rPr>
        <w:t>未完成</w:t>
      </w:r>
      <w:r>
        <w:rPr>
          <w:rFonts w:hint="eastAsia" w:ascii="仿宋_GB2312" w:hAnsi="仿宋_GB2312" w:eastAsia="仿宋_GB2312" w:cs="仿宋_GB2312"/>
          <w:color w:val="000000"/>
          <w:sz w:val="32"/>
          <w:szCs w:val="32"/>
          <w:u w:val="none"/>
        </w:rPr>
        <w:t>原有外科楼、科教楼及门诊楼的部分配套功能</w:t>
      </w:r>
      <w:r>
        <w:rPr>
          <w:rFonts w:hint="eastAsia" w:ascii="仿宋_GB2312" w:hAnsi="仿宋_GB2312" w:eastAsia="仿宋_GB2312" w:cs="仿宋_GB2312"/>
          <w:color w:val="000000"/>
          <w:sz w:val="32"/>
          <w:szCs w:val="32"/>
          <w:u w:val="none"/>
          <w:lang w:val="en-US" w:eastAsia="zh-CN"/>
        </w:rPr>
        <w:t>的</w:t>
      </w:r>
      <w:r>
        <w:rPr>
          <w:rFonts w:hint="eastAsia" w:ascii="仿宋_GB2312" w:hAnsi="仿宋_GB2312" w:eastAsia="仿宋_GB2312" w:cs="仿宋_GB2312"/>
          <w:color w:val="000000"/>
          <w:sz w:val="32"/>
          <w:szCs w:val="32"/>
          <w:u w:val="none"/>
        </w:rPr>
        <w:t>改建</w:t>
      </w:r>
      <w:r>
        <w:rPr>
          <w:rFonts w:hint="eastAsia" w:ascii="仿宋_GB2312" w:hAnsi="仿宋_GB2312" w:eastAsia="仿宋_GB2312" w:cs="仿宋_GB2312"/>
          <w:color w:val="000000"/>
          <w:sz w:val="32"/>
          <w:szCs w:val="32"/>
          <w:u w:val="none"/>
          <w:lang w:val="en-US" w:eastAsia="zh-CN"/>
        </w:rPr>
        <w:t>工作</w:t>
      </w:r>
      <w:r>
        <w:rPr>
          <w:rFonts w:hint="eastAsia" w:ascii="仿宋_GB2312" w:hAnsi="仿宋_GB2312" w:eastAsia="仿宋_GB2312" w:cs="仿宋_GB2312"/>
          <w:color w:val="000000"/>
          <w:sz w:val="32"/>
          <w:szCs w:val="32"/>
          <w:u w:val="none"/>
        </w:rPr>
        <w:t>及相关医疗设备</w:t>
      </w:r>
      <w:r>
        <w:rPr>
          <w:rFonts w:hint="eastAsia" w:ascii="仿宋_GB2312" w:hAnsi="仿宋_GB2312" w:eastAsia="仿宋_GB2312" w:cs="仿宋_GB2312"/>
          <w:color w:val="000000"/>
          <w:sz w:val="32"/>
          <w:szCs w:val="32"/>
          <w:u w:val="none"/>
          <w:lang w:val="en-US" w:eastAsia="zh-CN"/>
        </w:rPr>
        <w:t>的</w:t>
      </w:r>
      <w:r>
        <w:rPr>
          <w:rFonts w:hint="eastAsia" w:ascii="仿宋_GB2312" w:hAnsi="仿宋_GB2312" w:eastAsia="仿宋_GB2312" w:cs="仿宋_GB2312"/>
          <w:color w:val="000000"/>
          <w:sz w:val="32"/>
          <w:szCs w:val="32"/>
          <w:u w:val="none"/>
        </w:rPr>
        <w:t>采购</w:t>
      </w:r>
      <w:r>
        <w:rPr>
          <w:rFonts w:hint="eastAsia" w:ascii="仿宋_GB2312" w:hAnsi="仿宋_GB2312" w:eastAsia="仿宋_GB2312" w:cs="仿宋_GB2312"/>
          <w:color w:val="000000"/>
          <w:sz w:val="32"/>
          <w:szCs w:val="32"/>
          <w:u w:val="none"/>
          <w:lang w:val="en-US" w:eastAsia="zh-CN"/>
        </w:rPr>
        <w:t>工作</w:t>
      </w:r>
      <w:r>
        <w:rPr>
          <w:rFonts w:hint="eastAsia" w:ascii="仿宋_GB2312" w:hAnsi="仿宋_GB2312" w:eastAsia="仿宋_GB2312" w:cs="仿宋_GB2312"/>
          <w:color w:val="000000"/>
          <w:sz w:val="32"/>
          <w:szCs w:val="32"/>
          <w:u w:val="none"/>
        </w:rPr>
        <w:t>；</w:t>
      </w:r>
      <w:r>
        <w:rPr>
          <w:rFonts w:hint="eastAsia" w:ascii="仿宋_GB2312" w:hAnsi="仿宋_GB2312" w:eastAsia="仿宋_GB2312" w:cs="仿宋_GB2312"/>
          <w:color w:val="000000"/>
          <w:sz w:val="32"/>
          <w:szCs w:val="32"/>
          <w:u w:val="none"/>
          <w:lang w:val="en-US" w:eastAsia="zh-CN"/>
        </w:rPr>
        <w:t>未完成</w:t>
      </w:r>
      <w:r>
        <w:rPr>
          <w:rFonts w:hint="eastAsia" w:ascii="仿宋_GB2312" w:hAnsi="仿宋_GB2312" w:eastAsia="仿宋_GB2312" w:cs="仿宋_GB2312"/>
          <w:color w:val="000000"/>
          <w:sz w:val="32"/>
          <w:szCs w:val="32"/>
          <w:u w:val="none"/>
        </w:rPr>
        <w:t>项目规划总用地面积82127平方米（约123.19</w:t>
      </w:r>
      <w:r>
        <w:rPr>
          <w:rFonts w:hint="eastAsia" w:ascii="仿宋_GB2312" w:hAnsi="仿宋_GB2312" w:eastAsia="仿宋_GB2312" w:cs="仿宋_GB2312"/>
          <w:color w:val="000000"/>
          <w:sz w:val="32"/>
          <w:szCs w:val="32"/>
          <w:u w:val="none"/>
          <w:lang w:val="en-US" w:eastAsia="zh-CN"/>
        </w:rPr>
        <w:t>亩</w:t>
      </w:r>
      <w:r>
        <w:rPr>
          <w:rFonts w:hint="eastAsia" w:ascii="仿宋_GB2312" w:hAnsi="仿宋_GB2312" w:eastAsia="仿宋_GB2312" w:cs="仿宋_GB2312"/>
          <w:color w:val="000000"/>
          <w:sz w:val="32"/>
          <w:szCs w:val="32"/>
          <w:u w:val="none"/>
        </w:rPr>
        <w:t>），拟建总建筑面积为268800平方米，其中地上建筑面积155700平方米，包括新建门诊医技楼、住院楼、科研楼、实验楼、感染楼、行政保障楼，附属用房、宿舍楼；同时配套建设污水处理站、停车位以及电气、给排水、消防、暖道、道路硬化、绿化附属工程</w:t>
      </w:r>
      <w:r>
        <w:rPr>
          <w:rFonts w:hint="eastAsia" w:ascii="仿宋_GB2312" w:hAnsi="仿宋_GB2312" w:eastAsia="仿宋_GB2312" w:cs="仿宋_GB2312"/>
          <w:color w:val="000000"/>
          <w:sz w:val="32"/>
          <w:szCs w:val="32"/>
          <w:u w:val="none"/>
          <w:lang w:val="en-US" w:eastAsia="zh-CN"/>
        </w:rPr>
        <w:t>的建设工作。</w:t>
      </w:r>
    </w:p>
    <w:p>
      <w:pPr>
        <w:keepNext w:val="0"/>
        <w:keepLines w:val="0"/>
        <w:pageBreakBefore w:val="0"/>
        <w:numPr>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u w:val="none"/>
          <w:lang w:eastAsia="zh-CN"/>
        </w:rPr>
      </w:pPr>
      <w:r>
        <w:rPr>
          <w:rFonts w:hint="eastAsia" w:ascii="仿宋_GB2312" w:hAnsi="仿宋_GB2312" w:eastAsia="仿宋_GB2312" w:cs="仿宋_GB2312"/>
          <w:color w:val="000000"/>
          <w:sz w:val="32"/>
          <w:szCs w:val="32"/>
          <w:u w:val="none"/>
        </w:rPr>
        <w:t>高端CT等医疗设备采购项目：</w:t>
      </w:r>
      <w:r>
        <w:rPr>
          <w:rFonts w:hint="eastAsia" w:ascii="仿宋_GB2312" w:hAnsi="仿宋_GB2312" w:eastAsia="仿宋_GB2312" w:cs="仿宋_GB2312"/>
          <w:color w:val="000000"/>
          <w:sz w:val="32"/>
          <w:szCs w:val="32"/>
          <w:u w:val="none"/>
          <w:lang w:val="en-US" w:eastAsia="zh-CN"/>
        </w:rPr>
        <w:t>已</w:t>
      </w:r>
      <w:r>
        <w:rPr>
          <w:rFonts w:hint="eastAsia" w:ascii="仿宋_GB2312" w:hAnsi="仿宋_GB2312" w:eastAsia="仿宋_GB2312" w:cs="仿宋_GB2312"/>
          <w:color w:val="000000"/>
          <w:sz w:val="32"/>
          <w:szCs w:val="32"/>
          <w:u w:val="none"/>
        </w:rPr>
        <w:t>完成14台医疗设备的采购工作。</w:t>
      </w:r>
      <w:r>
        <w:rPr>
          <w:rFonts w:hint="eastAsia" w:ascii="仿宋_GB2312" w:eastAsia="仿宋_GB2312"/>
          <w:color w:val="000000"/>
          <w:sz w:val="32"/>
          <w:szCs w:val="32"/>
          <w:highlight w:val="none"/>
          <w:lang w:val="en-US" w:eastAsia="zh-CN"/>
        </w:rPr>
        <w:t>发现的主要问题及原因：</w:t>
      </w:r>
      <w:r>
        <w:rPr>
          <w:rFonts w:hint="eastAsia" w:ascii="仿宋_GB2312" w:hAnsi="仿宋_GB2312" w:eastAsia="仿宋_GB2312" w:cs="仿宋_GB2312"/>
          <w:color w:val="000000"/>
          <w:sz w:val="32"/>
          <w:szCs w:val="32"/>
          <w:u w:val="none"/>
        </w:rPr>
        <w:t>（</w:t>
      </w:r>
      <w:r>
        <w:rPr>
          <w:rFonts w:hint="eastAsia" w:ascii="仿宋_GB2312" w:hAnsi="仿宋_GB2312" w:eastAsia="仿宋_GB2312" w:cs="仿宋_GB2312"/>
          <w:color w:val="000000"/>
          <w:sz w:val="32"/>
          <w:szCs w:val="32"/>
          <w:u w:val="none"/>
          <w:lang w:val="en-US" w:eastAsia="zh-CN"/>
        </w:rPr>
        <w:t>1</w:t>
      </w:r>
      <w:r>
        <w:rPr>
          <w:rFonts w:hint="eastAsia" w:ascii="仿宋_GB2312" w:hAnsi="仿宋_GB2312" w:eastAsia="仿宋_GB2312" w:cs="仿宋_GB2312"/>
          <w:color w:val="000000"/>
          <w:sz w:val="32"/>
          <w:szCs w:val="32"/>
          <w:u w:val="none"/>
        </w:rPr>
        <w:t>）项目管理方面：1.</w:t>
      </w:r>
      <w:r>
        <w:rPr>
          <w:rFonts w:hint="eastAsia" w:ascii="仿宋_GB2312" w:hAnsi="仿宋_GB2312" w:eastAsia="仿宋_GB2312" w:cs="仿宋_GB2312"/>
          <w:color w:val="000000"/>
          <w:sz w:val="32"/>
          <w:szCs w:val="32"/>
        </w:rPr>
        <w:t>设备采购项目未</w:t>
      </w:r>
      <w:r>
        <w:rPr>
          <w:rFonts w:hint="eastAsia" w:ascii="仿宋_GB2312" w:hAnsi="仿宋_GB2312" w:eastAsia="仿宋_GB2312" w:cs="仿宋_GB2312"/>
          <w:color w:val="000000"/>
          <w:sz w:val="32"/>
          <w:szCs w:val="32"/>
          <w:lang w:val="en-US" w:eastAsia="zh-CN"/>
        </w:rPr>
        <w:t>按</w:t>
      </w:r>
      <w:r>
        <w:rPr>
          <w:rFonts w:hint="eastAsia" w:ascii="仿宋_GB2312" w:hAnsi="仿宋_GB2312" w:eastAsia="仿宋_GB2312" w:cs="仿宋_GB2312"/>
          <w:color w:val="000000"/>
          <w:sz w:val="32"/>
          <w:szCs w:val="32"/>
        </w:rPr>
        <w:t>时完成</w:t>
      </w:r>
      <w:r>
        <w:rPr>
          <w:rFonts w:hint="eastAsia" w:ascii="仿宋_GB2312" w:hAnsi="仿宋_GB2312" w:eastAsia="仿宋_GB2312" w:cs="仿宋_GB2312"/>
          <w:color w:val="000000"/>
          <w:sz w:val="32"/>
          <w:szCs w:val="32"/>
          <w:u w:val="none"/>
        </w:rPr>
        <w:t>；2.</w:t>
      </w:r>
      <w:r>
        <w:rPr>
          <w:rFonts w:hint="eastAsia" w:ascii="仿宋_GB2312" w:hAnsi="仿宋_GB2312" w:eastAsia="仿宋_GB2312" w:cs="仿宋_GB2312"/>
          <w:color w:val="000000"/>
          <w:sz w:val="32"/>
          <w:szCs w:val="32"/>
          <w:u w:val="none"/>
          <w:lang w:val="en-US" w:eastAsia="zh-CN"/>
        </w:rPr>
        <w:t>改扩建</w:t>
      </w:r>
      <w:r>
        <w:rPr>
          <w:rFonts w:hint="eastAsia" w:ascii="仿宋_GB2312" w:hAnsi="仿宋_GB2312" w:eastAsia="仿宋_GB2312" w:cs="仿宋_GB2312"/>
          <w:color w:val="000000"/>
          <w:sz w:val="32"/>
          <w:szCs w:val="32"/>
          <w:u w:val="none"/>
        </w:rPr>
        <w:t>项目未</w:t>
      </w:r>
      <w:r>
        <w:rPr>
          <w:rFonts w:hint="eastAsia" w:ascii="仿宋_GB2312" w:hAnsi="仿宋_GB2312" w:eastAsia="仿宋_GB2312" w:cs="仿宋_GB2312"/>
          <w:color w:val="000000"/>
          <w:sz w:val="32"/>
          <w:szCs w:val="32"/>
          <w:u w:val="none"/>
          <w:lang w:val="en-US" w:eastAsia="zh-CN"/>
        </w:rPr>
        <w:t>办理移交手续</w:t>
      </w:r>
      <w:r>
        <w:rPr>
          <w:rFonts w:hint="eastAsia" w:ascii="仿宋_GB2312" w:hAnsi="仿宋_GB2312" w:eastAsia="仿宋_GB2312" w:cs="仿宋_GB2312"/>
          <w:color w:val="000000"/>
          <w:sz w:val="32"/>
          <w:szCs w:val="32"/>
          <w:u w:val="none"/>
        </w:rPr>
        <w:t>。（</w:t>
      </w:r>
      <w:r>
        <w:rPr>
          <w:rFonts w:hint="eastAsia" w:ascii="仿宋_GB2312" w:hAnsi="仿宋_GB2312"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rPr>
        <w:t>）绩效管理方面：1.绩效目标制定不科学</w:t>
      </w:r>
      <w:r>
        <w:rPr>
          <w:rFonts w:hint="eastAsia" w:ascii="仿宋_GB2312" w:hAnsi="仿宋_GB2312" w:eastAsia="仿宋_GB2312" w:cs="仿宋_GB2312"/>
          <w:color w:val="000000"/>
          <w:sz w:val="32"/>
          <w:szCs w:val="32"/>
          <w:u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color w:val="000000"/>
          <w:sz w:val="32"/>
          <w:szCs w:val="32"/>
          <w:highlight w:val="none"/>
          <w:lang w:val="en-US"/>
        </w:rPr>
      </w:pPr>
      <w:r>
        <w:rPr>
          <w:rFonts w:hint="eastAsia" w:ascii="楷体" w:hAnsi="楷体" w:eastAsia="楷体" w:cs="楷体"/>
          <w:b w:val="0"/>
          <w:bCs/>
          <w:color w:val="000000"/>
          <w:sz w:val="32"/>
          <w:szCs w:val="32"/>
          <w:highlight w:val="none"/>
          <w:lang w:val="en-US" w:eastAsia="zh-CN"/>
        </w:rPr>
        <w:t>（三）</w:t>
      </w:r>
      <w:r>
        <w:rPr>
          <w:rFonts w:hint="eastAsia" w:ascii="楷体" w:hAnsi="楷体" w:eastAsia="楷体" w:cs="楷体"/>
          <w:b w:val="0"/>
          <w:bCs/>
          <w:color w:val="000000"/>
          <w:sz w:val="32"/>
          <w:szCs w:val="32"/>
          <w:highlight w:val="none"/>
          <w:lang w:val="en-US"/>
        </w:rPr>
        <w:t>部门评价结果</w:t>
      </w:r>
      <w:r>
        <w:rPr>
          <w:rFonts w:hint="eastAsia" w:ascii="楷体" w:hAnsi="楷体" w:eastAsia="楷体" w:cs="楷体"/>
          <w:b w:val="0"/>
          <w:bCs/>
          <w:color w:val="000000"/>
          <w:sz w:val="32"/>
          <w:szCs w:val="32"/>
          <w:highlight w:val="none"/>
          <w:lang w:val="en-US" w:eastAsia="zh-CN"/>
        </w:rPr>
        <w:t>（预算部门填写，部门所属单位不需填写）</w:t>
      </w:r>
      <w:r>
        <w:rPr>
          <w:rFonts w:hint="eastAsia" w:ascii="楷体" w:hAnsi="楷体" w:eastAsia="楷体" w:cs="楷体"/>
          <w:b w:val="0"/>
          <w:bCs/>
          <w:color w:val="000000"/>
          <w:sz w:val="32"/>
          <w:szCs w:val="32"/>
          <w:highlight w:val="none"/>
          <w:u w:val="none"/>
        </w:rPr>
        <w:t>。</w:t>
      </w:r>
    </w:p>
    <w:p>
      <w:pPr>
        <w:keepNext w:val="0"/>
        <w:keepLines w:val="0"/>
        <w:pageBreakBefore w:val="0"/>
        <w:numPr>
          <w:numId w:val="0"/>
        </w:numPr>
        <w:kinsoku/>
        <w:wordWrap/>
        <w:overflowPunct/>
        <w:topLinePunct w:val="0"/>
        <w:autoSpaceDE/>
        <w:autoSpaceDN/>
        <w:bidi w:val="0"/>
        <w:adjustRightInd/>
        <w:snapToGrid/>
        <w:spacing w:line="560" w:lineRule="exact"/>
        <w:ind w:leftChars="200"/>
        <w:jc w:val="both"/>
        <w:textAlignment w:val="auto"/>
        <w:rPr>
          <w:rFonts w:hint="eastAsia" w:ascii="楷体" w:hAnsi="楷体" w:eastAsia="楷体" w:cs="楷体"/>
          <w:b w:val="0"/>
          <w:bCs/>
          <w:color w:val="000000"/>
          <w:sz w:val="32"/>
          <w:szCs w:val="32"/>
          <w:highlight w:val="none"/>
          <w:lang w:val="en-US" w:eastAsia="zh-CN"/>
        </w:rPr>
      </w:pPr>
      <w:r>
        <w:rPr>
          <w:rFonts w:hint="eastAsia" w:ascii="楷体" w:hAnsi="楷体" w:eastAsia="楷体" w:cs="楷体"/>
          <w:b w:val="0"/>
          <w:bCs/>
          <w:color w:val="000000"/>
          <w:sz w:val="32"/>
          <w:szCs w:val="32"/>
          <w:highlight w:val="none"/>
          <w:lang w:val="en-US" w:eastAsia="zh-CN"/>
        </w:rPr>
        <w:t xml:space="preserve">   无</w:t>
      </w:r>
    </w:p>
    <w:p>
      <w:pPr>
        <w:keepNext w:val="0"/>
        <w:keepLines w:val="0"/>
        <w:pageBreakBefore w:val="0"/>
        <w:numPr>
          <w:numId w:val="0"/>
        </w:numPr>
        <w:kinsoku/>
        <w:wordWrap/>
        <w:overflowPunct/>
        <w:topLinePunct w:val="0"/>
        <w:autoSpaceDE/>
        <w:autoSpaceDN/>
        <w:bidi w:val="0"/>
        <w:adjustRightInd/>
        <w:snapToGrid/>
        <w:spacing w:line="560" w:lineRule="exact"/>
        <w:ind w:leftChars="200" w:firstLine="320" w:firstLineChars="100"/>
        <w:jc w:val="both"/>
        <w:textAlignment w:val="auto"/>
        <w:rPr>
          <w:rFonts w:hint="eastAsia" w:ascii="楷体" w:hAnsi="楷体" w:eastAsia="楷体" w:cs="楷体"/>
          <w:b w:val="0"/>
          <w:bCs/>
          <w:color w:val="000000"/>
          <w:sz w:val="32"/>
          <w:szCs w:val="32"/>
          <w:highlight w:val="none"/>
          <w:lang w:eastAsia="zh-CN"/>
        </w:rPr>
      </w:pPr>
      <w:r>
        <w:rPr>
          <w:rFonts w:hint="eastAsia" w:ascii="楷体" w:hAnsi="楷体" w:eastAsia="楷体" w:cs="楷体"/>
          <w:b w:val="0"/>
          <w:bCs/>
          <w:color w:val="000000"/>
          <w:sz w:val="32"/>
          <w:szCs w:val="32"/>
          <w:highlight w:val="none"/>
          <w:lang w:eastAsia="zh-CN"/>
        </w:rPr>
        <w:t>（四）财政评价结果</w:t>
      </w:r>
    </w:p>
    <w:p>
      <w:pPr>
        <w:keepNext w:val="0"/>
        <w:keepLines w:val="0"/>
        <w:pageBreakBefore w:val="0"/>
        <w:numPr>
          <w:numId w:val="0"/>
        </w:numPr>
        <w:kinsoku/>
        <w:wordWrap/>
        <w:overflowPunct/>
        <w:topLinePunct w:val="0"/>
        <w:autoSpaceDE/>
        <w:autoSpaceDN/>
        <w:bidi w:val="0"/>
        <w:adjustRightInd/>
        <w:snapToGrid/>
        <w:spacing w:line="560" w:lineRule="exact"/>
        <w:ind w:leftChars="200"/>
        <w:jc w:val="both"/>
        <w:textAlignment w:val="auto"/>
        <w:rPr>
          <w:rFonts w:hint="default" w:ascii="楷体" w:hAnsi="楷体" w:eastAsia="楷体" w:cs="楷体"/>
          <w:b w:val="0"/>
          <w:bCs/>
          <w:color w:val="000000"/>
          <w:sz w:val="32"/>
          <w:szCs w:val="32"/>
          <w:highlight w:val="none"/>
          <w:lang w:val="en-US" w:eastAsia="zh-CN"/>
        </w:rPr>
      </w:pPr>
      <w:r>
        <w:rPr>
          <w:rFonts w:hint="eastAsia" w:ascii="楷体" w:hAnsi="楷体" w:eastAsia="楷体" w:cs="楷体"/>
          <w:b w:val="0"/>
          <w:bCs/>
          <w:color w:val="000000"/>
          <w:sz w:val="32"/>
          <w:szCs w:val="32"/>
          <w:highlight w:val="none"/>
          <w:lang w:val="en-US" w:eastAsia="zh-CN"/>
        </w:rPr>
        <w:t xml:space="preserve">   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十一、其他重要事项情况说明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rPr>
      </w:pPr>
      <w:bookmarkStart w:id="95" w:name="_Toc15262_WPSOffice_Level2"/>
      <w:bookmarkStart w:id="96" w:name="_Toc18325_WPSOffice_Level2"/>
      <w:bookmarkStart w:id="97" w:name="_Toc15565_WPSOffice_Level2"/>
      <w:bookmarkStart w:id="98" w:name="_Toc23598_WPSOffice_Level2"/>
      <w:bookmarkStart w:id="99" w:name="_Toc32639_WPSOffice_Level2"/>
      <w:bookmarkStart w:id="100" w:name="_Toc5978_WPSOffice_Level2"/>
      <w:r>
        <w:rPr>
          <w:rFonts w:hint="eastAsia" w:ascii="楷体" w:hAnsi="楷体" w:eastAsia="楷体" w:cs="楷体"/>
          <w:bCs/>
          <w:color w:val="000000"/>
          <w:sz w:val="32"/>
          <w:szCs w:val="32"/>
          <w:highlight w:val="none"/>
        </w:rPr>
        <w:t>（一）机关运行经费支出情况。</w:t>
      </w:r>
      <w:bookmarkEnd w:id="95"/>
      <w:bookmarkEnd w:id="96"/>
      <w:bookmarkEnd w:id="97"/>
      <w:bookmarkEnd w:id="98"/>
      <w:bookmarkEnd w:id="99"/>
      <w:bookmarkEnd w:id="100"/>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2022年度</w:t>
      </w:r>
      <w:r>
        <w:rPr>
          <w:rFonts w:hint="eastAsia" w:ascii="仿宋_GB2312" w:hAnsi="ˎ̥" w:eastAsia="仿宋_GB2312"/>
          <w:color w:val="000000"/>
          <w:sz w:val="32"/>
          <w:szCs w:val="32"/>
          <w:highlight w:val="none"/>
          <w:lang w:eastAsia="zh-CN"/>
        </w:rPr>
        <w:t>三亚中心医院</w:t>
      </w:r>
      <w:r>
        <w:rPr>
          <w:rFonts w:hint="eastAsia" w:ascii="仿宋_GB2312" w:hAnsi="ˎ̥" w:eastAsia="仿宋_GB2312"/>
          <w:color w:val="000000"/>
          <w:sz w:val="32"/>
          <w:szCs w:val="32"/>
          <w:highlight w:val="none"/>
        </w:rPr>
        <w:t>机关运行经费</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w:t>
      </w:r>
      <w:r>
        <w:rPr>
          <w:rFonts w:hint="eastAsia" w:ascii="仿宋_GB2312" w:hAnsi="ˎ̥" w:eastAsia="仿宋_GB2312"/>
          <w:color w:val="000000"/>
          <w:sz w:val="32"/>
          <w:szCs w:val="32"/>
          <w:highlight w:val="none"/>
          <w:lang w:eastAsia="zh-CN"/>
        </w:rPr>
        <w:t>，</w:t>
      </w:r>
      <w:r>
        <w:rPr>
          <w:rFonts w:hint="eastAsia" w:ascii="仿宋_GB2312" w:hAnsi="ˎ̥" w:eastAsia="仿宋_GB2312"/>
          <w:color w:val="000000"/>
          <w:sz w:val="32"/>
          <w:szCs w:val="32"/>
          <w:highlight w:val="none"/>
        </w:rPr>
        <w:t>比年初预算增加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万元，增长</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rPr>
      </w:pPr>
      <w:bookmarkStart w:id="101" w:name="_Toc25333_WPSOffice_Level2"/>
      <w:bookmarkStart w:id="102" w:name="_Toc32689_WPSOffice_Level2"/>
      <w:bookmarkStart w:id="103" w:name="_Toc13084_WPSOffice_Level2"/>
      <w:bookmarkStart w:id="104" w:name="_Toc30383_WPSOffice_Level2"/>
      <w:bookmarkStart w:id="105" w:name="_Toc23966_WPSOffice_Level2"/>
      <w:bookmarkStart w:id="106" w:name="_Toc3131_WPSOffice_Level2"/>
      <w:r>
        <w:rPr>
          <w:rFonts w:hint="eastAsia" w:ascii="楷体" w:hAnsi="楷体" w:eastAsia="楷体" w:cs="楷体"/>
          <w:bCs/>
          <w:color w:val="000000"/>
          <w:sz w:val="32"/>
          <w:szCs w:val="32"/>
          <w:highlight w:val="none"/>
        </w:rPr>
        <w:t>（二）政府采购支出情况。</w:t>
      </w:r>
      <w:bookmarkEnd w:id="101"/>
      <w:bookmarkEnd w:id="102"/>
      <w:bookmarkEnd w:id="103"/>
      <w:bookmarkEnd w:id="104"/>
      <w:bookmarkEnd w:id="105"/>
      <w:bookmarkEnd w:id="10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2022年度</w:t>
      </w:r>
      <w:r>
        <w:rPr>
          <w:rFonts w:hint="eastAsia" w:ascii="仿宋_GB2312" w:hAnsi="ˎ̥" w:eastAsia="仿宋_GB2312"/>
          <w:color w:val="000000"/>
          <w:sz w:val="32"/>
          <w:szCs w:val="32"/>
          <w:highlight w:val="none"/>
          <w:lang w:eastAsia="zh-CN"/>
        </w:rPr>
        <w:t>三亚中心医院</w:t>
      </w:r>
      <w:r>
        <w:rPr>
          <w:rFonts w:hint="eastAsia" w:ascii="仿宋_GB2312" w:hAnsi="ˎ̥" w:eastAsia="仿宋_GB2312"/>
          <w:color w:val="000000"/>
          <w:sz w:val="32"/>
          <w:szCs w:val="32"/>
          <w:highlight w:val="none"/>
        </w:rPr>
        <w:t>政府采购支出总额</w:t>
      </w:r>
      <w:r>
        <w:rPr>
          <w:rFonts w:hint="eastAsia" w:ascii="仿宋_GB2312" w:hAnsi="ˎ̥" w:eastAsia="仿宋_GB2312"/>
          <w:color w:val="000000"/>
          <w:sz w:val="32"/>
          <w:szCs w:val="32"/>
          <w:highlight w:val="none"/>
          <w:lang w:val="en-US" w:eastAsia="zh-CN"/>
        </w:rPr>
        <w:t>23076</w:t>
      </w:r>
      <w:r>
        <w:rPr>
          <w:rFonts w:hint="eastAsia" w:ascii="仿宋_GB2312" w:hAnsi="ˎ̥" w:eastAsia="仿宋_GB2312"/>
          <w:color w:val="000000"/>
          <w:sz w:val="32"/>
          <w:szCs w:val="32"/>
          <w:highlight w:val="none"/>
        </w:rPr>
        <w:t>万元，其中：政府采购货物支出</w:t>
      </w:r>
      <w:r>
        <w:rPr>
          <w:rFonts w:hint="eastAsia" w:ascii="仿宋_GB2312" w:hAnsi="ˎ̥" w:eastAsia="仿宋_GB2312"/>
          <w:color w:val="000000"/>
          <w:sz w:val="32"/>
          <w:szCs w:val="32"/>
          <w:highlight w:val="none"/>
          <w:lang w:val="en-US" w:eastAsia="zh-CN"/>
        </w:rPr>
        <w:t>23076</w:t>
      </w:r>
      <w:r>
        <w:rPr>
          <w:rFonts w:hint="eastAsia" w:ascii="仿宋_GB2312" w:hAnsi="ˎ̥" w:eastAsia="仿宋_GB2312"/>
          <w:color w:val="000000"/>
          <w:sz w:val="32"/>
          <w:szCs w:val="32"/>
          <w:highlight w:val="none"/>
        </w:rPr>
        <w:t>万元、政府采购工程支出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万元、政府采购服务支出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万元。授予中小企业合同金额XX万元，占政府采购支出总额的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%，其中：授予小微企业合同金额</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仿宋_GB2312" w:eastAsia="仿宋_GB2312" w:cs="仿宋_GB2312"/>
          <w:color w:val="000000"/>
          <w:kern w:val="0"/>
          <w:sz w:val="32"/>
          <w:szCs w:val="32"/>
          <w:highlight w:val="none"/>
          <w:lang w:bidi="ar"/>
        </w:rPr>
        <w:t>授予中小企业合同金额</w:t>
      </w:r>
      <w:r>
        <w:rPr>
          <w:rFonts w:hint="eastAsia" w:ascii="仿宋_GB2312" w:hAnsi="仿宋_GB2312" w:eastAsia="仿宋_GB2312" w:cs="仿宋_GB2312"/>
          <w:color w:val="000000"/>
          <w:sz w:val="32"/>
          <w:szCs w:val="32"/>
          <w:highlight w:val="none"/>
        </w:rPr>
        <w:t>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rPr>
      </w:pPr>
      <w:bookmarkStart w:id="107" w:name="_Toc19989_WPSOffice_Level2"/>
      <w:bookmarkStart w:id="108" w:name="_Toc29584_WPSOffice_Level2"/>
      <w:bookmarkStart w:id="109" w:name="_Toc527_WPSOffice_Level2"/>
      <w:bookmarkStart w:id="110" w:name="_Toc15129_WPSOffice_Level2"/>
      <w:bookmarkStart w:id="111" w:name="_Toc10902_WPSOffice_Level2"/>
      <w:bookmarkStart w:id="112" w:name="_Toc6016_WPSOffice_Level2"/>
      <w:r>
        <w:rPr>
          <w:rFonts w:hint="eastAsia" w:ascii="楷体" w:hAnsi="楷体" w:eastAsia="楷体" w:cs="楷体"/>
          <w:bCs/>
          <w:color w:val="000000"/>
          <w:sz w:val="32"/>
          <w:szCs w:val="32"/>
          <w:highlight w:val="none"/>
        </w:rPr>
        <w:t>（三）国有资产占用情况。</w:t>
      </w:r>
      <w:bookmarkEnd w:id="107"/>
      <w:bookmarkEnd w:id="108"/>
      <w:bookmarkEnd w:id="109"/>
      <w:bookmarkEnd w:id="110"/>
      <w:bookmarkEnd w:id="111"/>
      <w:bookmarkEnd w:id="11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bCs/>
          <w:color w:val="000000"/>
          <w:sz w:val="32"/>
          <w:szCs w:val="32"/>
          <w:highlight w:val="none"/>
        </w:rPr>
        <w:t>截至2022年12月31日，本部门拥有</w:t>
      </w:r>
      <w:r>
        <w:rPr>
          <w:rFonts w:hint="eastAsia" w:ascii="仿宋_GB2312" w:hAnsi="ˎ̥" w:eastAsia="仿宋_GB2312"/>
          <w:color w:val="000000"/>
          <w:sz w:val="32"/>
          <w:szCs w:val="32"/>
          <w:highlight w:val="none"/>
        </w:rPr>
        <w:t>房屋面积76776.26平方米，其中：办公用房3168.41平方米，业务用房72838.89平方米，其他（不含构筑物）768.96平方米。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本部门共有车辆</w:t>
      </w:r>
      <w:r>
        <w:rPr>
          <w:rFonts w:hint="eastAsia" w:ascii="仿宋_GB2312" w:hAnsi="ˎ̥" w:eastAsia="仿宋_GB2312"/>
          <w:color w:val="000000"/>
          <w:sz w:val="32"/>
          <w:szCs w:val="32"/>
          <w:highlight w:val="none"/>
          <w:lang w:val="en-US" w:eastAsia="zh-CN"/>
        </w:rPr>
        <w:t>22</w:t>
      </w:r>
      <w:r>
        <w:rPr>
          <w:rFonts w:hint="eastAsia" w:ascii="仿宋_GB2312" w:hAnsi="ˎ̥" w:eastAsia="仿宋_GB2312"/>
          <w:color w:val="000000"/>
          <w:sz w:val="32"/>
          <w:szCs w:val="32"/>
          <w:highlight w:val="none"/>
        </w:rPr>
        <w:t>辆，其中，副部（省）级及以上领导用车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辆、主要领导干部用车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辆、机要通信用车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辆、应急保障用车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辆、执法执勤用车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辆、特种专业技术用车</w:t>
      </w:r>
      <w:r>
        <w:rPr>
          <w:rFonts w:hint="eastAsia" w:ascii="仿宋_GB2312" w:hAnsi="ˎ̥" w:eastAsia="仿宋_GB2312"/>
          <w:color w:val="000000"/>
          <w:sz w:val="32"/>
          <w:szCs w:val="32"/>
          <w:highlight w:val="none"/>
          <w:lang w:val="en-US" w:eastAsia="zh-CN"/>
        </w:rPr>
        <w:t>17</w:t>
      </w:r>
      <w:r>
        <w:rPr>
          <w:rFonts w:hint="eastAsia" w:ascii="仿宋_GB2312" w:hAnsi="ˎ̥" w:eastAsia="仿宋_GB2312"/>
          <w:color w:val="000000"/>
          <w:sz w:val="32"/>
          <w:szCs w:val="32"/>
          <w:highlight w:val="none"/>
        </w:rPr>
        <w:t>辆、离退休干部用车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辆、其他用车</w:t>
      </w:r>
      <w:r>
        <w:rPr>
          <w:rFonts w:hint="eastAsia" w:ascii="仿宋_GB2312" w:hAnsi="ˎ̥" w:eastAsia="仿宋_GB2312"/>
          <w:color w:val="000000"/>
          <w:sz w:val="32"/>
          <w:szCs w:val="32"/>
          <w:highlight w:val="none"/>
          <w:lang w:val="en-US" w:eastAsia="zh-CN"/>
        </w:rPr>
        <w:t>5</w:t>
      </w:r>
      <w:r>
        <w:rPr>
          <w:rFonts w:hint="eastAsia" w:ascii="仿宋_GB2312" w:hAnsi="ˎ̥" w:eastAsia="仿宋_GB2312"/>
          <w:color w:val="000000"/>
          <w:sz w:val="32"/>
          <w:szCs w:val="32"/>
          <w:highlight w:val="none"/>
        </w:rPr>
        <w:t>辆。单价100万元（含）以上设备（不含车辆）</w:t>
      </w:r>
      <w:r>
        <w:rPr>
          <w:rFonts w:hint="eastAsia" w:ascii="仿宋_GB2312" w:hAnsi="ˎ̥" w:eastAsia="仿宋_GB2312"/>
          <w:color w:val="000000"/>
          <w:sz w:val="32"/>
          <w:szCs w:val="32"/>
          <w:highlight w:val="none"/>
          <w:lang w:val="en-US" w:eastAsia="zh-CN"/>
        </w:rPr>
        <w:t>1</w:t>
      </w:r>
      <w:r>
        <w:rPr>
          <w:rFonts w:hint="eastAsia" w:ascii="仿宋_GB2312" w:hAnsi="ˎ̥" w:eastAsia="仿宋_GB2312"/>
          <w:color w:val="000000"/>
          <w:sz w:val="32"/>
          <w:szCs w:val="32"/>
          <w:highlight w:val="none"/>
        </w:rPr>
        <w:t>台（套）。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年末在建工程</w:t>
      </w:r>
      <w:r>
        <w:rPr>
          <w:rFonts w:hint="eastAsia" w:ascii="仿宋_GB2312" w:hAnsi="ˎ̥" w:eastAsia="仿宋_GB2312"/>
          <w:color w:val="000000"/>
          <w:sz w:val="32"/>
          <w:szCs w:val="32"/>
          <w:highlight w:val="none"/>
          <w:lang w:val="en-US" w:eastAsia="zh-CN"/>
        </w:rPr>
        <w:t>23289.52</w:t>
      </w:r>
      <w:r>
        <w:rPr>
          <w:rFonts w:hint="eastAsia" w:ascii="仿宋_GB2312" w:hAnsi="ˎ̥" w:eastAsia="仿宋_GB2312"/>
          <w:color w:val="000000"/>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lang w:eastAsia="zh-CN"/>
        </w:rPr>
      </w:pPr>
      <w:bookmarkStart w:id="113" w:name="_Toc15425_WPSOffice_Level1"/>
      <w:bookmarkStart w:id="114" w:name="_Toc8874_WPSOffice_Level1"/>
      <w:bookmarkStart w:id="115" w:name="_Toc4398_WPSOffice_Level1"/>
      <w:bookmarkStart w:id="116" w:name="_Toc17580_WPSOffice_Level1"/>
      <w:bookmarkStart w:id="117" w:name="_Toc11039_WPSOffice_Level1"/>
      <w:bookmarkStart w:id="118" w:name="_Toc8808_WPSOffice_Level1"/>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r>
        <w:rPr>
          <w:rFonts w:hint="eastAsia" w:ascii="黑体" w:hAnsi="ˎ̥" w:eastAsia="黑体"/>
          <w:color w:val="000000"/>
          <w:sz w:val="32"/>
          <w:szCs w:val="32"/>
          <w:highlight w:val="none"/>
        </w:rPr>
        <w:t>第四部分  名词解释</w:t>
      </w:r>
      <w:bookmarkEnd w:id="113"/>
      <w:bookmarkEnd w:id="114"/>
      <w:bookmarkEnd w:id="115"/>
      <w:bookmarkEnd w:id="116"/>
      <w:bookmarkEnd w:id="117"/>
      <w:bookmarkEnd w:id="118"/>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财政拨款收入：指同级政府财政部门当年拨付的各类财政拨款。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二、上级补助收入：指事业单位从主管部门和上级单位取得的非财政补助收入。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三、事业收入：指事业单位开展专业业务活动及辅助活动取得的收入。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四、经营收入：指事业单位在专业业务活动及其辅助活动之外开展非独立核算经营活动取得的收入。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五、附属单位上缴收入：指事业单位取得附属独立核算单位根据有关规定上缴的收入。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六、其他收入：指除上述“财政拨款收入”“事业收入”“上级补助收入”“经营收入”“附属单位上缴收入”等以外的收入。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七、使用非财政拨款结余：指事业单位在当年的“财政拨款收入”“事业收入”“经营收入”“其他收入”等不足以安排当年支出的情况下，使用非同级财政拨款结余资金弥补本年度收支缺口。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八、年初结转和结余：指以前年度尚未完成、结转到本年按有关规定继续使用的资金，或项目已完成等产生的结余资金。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九、结余分配：指事业单位缴纳企业所得税以及从非财政拨款结余或经营结余中提取各类结余的情况。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十、年末结转和结余：指本年度或以前年度预算安排、因客观条件发生变化无法按原计划实施，需要延迟到以后年度按有关规定继续使用的资金（不包括事业单位非财政拨款结余和专用结余）。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十一、基本支出：指为保障机构正常运转、完成日常工作任务而发生的人员支出和公用支出。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十二、项目支出：指在基本支出之外为完成特定行政任务和事业发展目标所发生的支出。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十三、经营支出：指事业单位在专业业务活动及其辅助活动之外开展非独立核算经营活动发生的支出。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支出功能分类的名词解释，各部门（单位）根据实际支出情况填列，可参阅财政部印发的《202</w:t>
      </w:r>
      <w:r>
        <w:rPr>
          <w:rFonts w:ascii="仿宋_GB2312" w:hAnsi="ˎ̥" w:eastAsia="仿宋_GB2312"/>
          <w:color w:val="000000"/>
          <w:sz w:val="32"/>
          <w:szCs w:val="32"/>
          <w:highlight w:val="none"/>
        </w:rPr>
        <w:t>2</w:t>
      </w:r>
      <w:r>
        <w:rPr>
          <w:rFonts w:hint="eastAsia" w:ascii="仿宋_GB2312" w:hAnsi="ˎ̥" w:eastAsia="仿宋_GB2312"/>
          <w:color w:val="000000"/>
          <w:sz w:val="32"/>
          <w:szCs w:val="32"/>
          <w:highlight w:val="none"/>
        </w:rPr>
        <w:t>年政府收支分类科目》）</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60" w:lineRule="exact"/>
        <w:textAlignment w:val="auto"/>
        <w:rPr>
          <w:color w:val="000000"/>
          <w:highlight w:val="none"/>
        </w:rPr>
      </w:pPr>
    </w:p>
    <w:p/>
    <w:sectPr>
      <w:footerReference r:id="rId3" w:type="default"/>
      <w:footerReference r:id="rId4" w:type="even"/>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ˎ̥">
    <w:altName w:val="Arial Unicode MS"/>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6"/>
                            </w:rPr>
                          </w:pPr>
                          <w:r>
                            <w:rPr>
                              <w:rStyle w:val="6"/>
                            </w:rPr>
                            <w:t xml:space="preserve">— </w:t>
                          </w:r>
                          <w:r>
                            <w:fldChar w:fldCharType="begin"/>
                          </w:r>
                          <w:r>
                            <w:rPr>
                              <w:rStyle w:val="6"/>
                            </w:rPr>
                            <w:instrText xml:space="preserve"> PAGE  \* MERGEFORMAT </w:instrText>
                          </w:r>
                          <w:r>
                            <w:fldChar w:fldCharType="separate"/>
                          </w:r>
                          <w:r>
                            <w:rPr>
                              <w:rStyle w:val="6"/>
                            </w:rPr>
                            <w:t>1</w:t>
                          </w:r>
                          <w:r>
                            <w:fldChar w:fldCharType="end"/>
                          </w:r>
                          <w:r>
                            <w:rPr>
                              <w:rStyle w:val="6"/>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rPr>
                        <w:rStyle w:val="6"/>
                      </w:rPr>
                    </w:pPr>
                    <w:r>
                      <w:rPr>
                        <w:rStyle w:val="6"/>
                      </w:rPr>
                      <w:t xml:space="preserve">— </w:t>
                    </w:r>
                    <w:r>
                      <w:fldChar w:fldCharType="begin"/>
                    </w:r>
                    <w:r>
                      <w:rPr>
                        <w:rStyle w:val="6"/>
                      </w:rPr>
                      <w:instrText xml:space="preserve"> PAGE  \* MERGEFORMAT </w:instrText>
                    </w:r>
                    <w:r>
                      <w:fldChar w:fldCharType="separate"/>
                    </w:r>
                    <w:r>
                      <w:rPr>
                        <w:rStyle w:val="6"/>
                      </w:rPr>
                      <w:t>1</w:t>
                    </w:r>
                    <w:r>
                      <w:fldChar w:fldCharType="end"/>
                    </w:r>
                    <w:r>
                      <w:rPr>
                        <w:rStyle w:val="6"/>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FC2DCC"/>
    <w:multiLevelType w:val="singleLevel"/>
    <w:tmpl w:val="AFFC2DCC"/>
    <w:lvl w:ilvl="0" w:tentative="0">
      <w:start w:val="1"/>
      <w:numFmt w:val="chineseCounting"/>
      <w:suff w:val="nothing"/>
      <w:lvlText w:val="%1、"/>
      <w:lvlJc w:val="left"/>
      <w:rPr>
        <w:rFonts w:hint="eastAsia"/>
      </w:rPr>
    </w:lvl>
  </w:abstractNum>
  <w:abstractNum w:abstractNumId="1">
    <w:nsid w:val="00DCA09B"/>
    <w:multiLevelType w:val="singleLevel"/>
    <w:tmpl w:val="00DCA09B"/>
    <w:lvl w:ilvl="0" w:tentative="0">
      <w:start w:val="1"/>
      <w:numFmt w:val="chineseCounting"/>
      <w:suff w:val="nothing"/>
      <w:lvlText w:val="%1、"/>
      <w:lvlJc w:val="left"/>
      <w:rPr>
        <w:rFonts w:hint="eastAsia"/>
      </w:rPr>
    </w:lvl>
  </w:abstractNum>
  <w:abstractNum w:abstractNumId="2">
    <w:nsid w:val="3B4A3203"/>
    <w:multiLevelType w:val="singleLevel"/>
    <w:tmpl w:val="3B4A3203"/>
    <w:lvl w:ilvl="0" w:tentative="0">
      <w:start w:val="2"/>
      <w:numFmt w:val="chineseCounting"/>
      <w:suff w:val="nothing"/>
      <w:lvlText w:val="（%1）"/>
      <w:lvlJc w:val="left"/>
      <w:rPr>
        <w:rFonts w:hint="eastAsia"/>
      </w:rPr>
    </w:lvl>
  </w:abstractNum>
  <w:abstractNum w:abstractNumId="3">
    <w:nsid w:val="72109F8D"/>
    <w:multiLevelType w:val="singleLevel"/>
    <w:tmpl w:val="72109F8D"/>
    <w:lvl w:ilvl="0" w:tentative="0">
      <w:start w:val="7"/>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mNTA3ZWNlZWJhNWNhODJmMjczYmVjN2M5NDliNjYifQ=="/>
  </w:docVars>
  <w:rsids>
    <w:rsidRoot w:val="52076970"/>
    <w:rsid w:val="00947A95"/>
    <w:rsid w:val="03CA6207"/>
    <w:rsid w:val="058C526B"/>
    <w:rsid w:val="085B58CB"/>
    <w:rsid w:val="11ED7132"/>
    <w:rsid w:val="1DFE408B"/>
    <w:rsid w:val="229E5EAD"/>
    <w:rsid w:val="28610BF3"/>
    <w:rsid w:val="2B1C0A93"/>
    <w:rsid w:val="2CB25B52"/>
    <w:rsid w:val="2D480265"/>
    <w:rsid w:val="2FAE488E"/>
    <w:rsid w:val="31D125D7"/>
    <w:rsid w:val="338B14E9"/>
    <w:rsid w:val="34D87807"/>
    <w:rsid w:val="35A83ACC"/>
    <w:rsid w:val="3B337E5E"/>
    <w:rsid w:val="412874F2"/>
    <w:rsid w:val="443553D6"/>
    <w:rsid w:val="4A561DC5"/>
    <w:rsid w:val="50A80F8D"/>
    <w:rsid w:val="51F93AD8"/>
    <w:rsid w:val="52076970"/>
    <w:rsid w:val="52A70888"/>
    <w:rsid w:val="54444BB2"/>
    <w:rsid w:val="5D6D4555"/>
    <w:rsid w:val="65C41D3B"/>
    <w:rsid w:val="676B00D2"/>
    <w:rsid w:val="79EA43B9"/>
    <w:rsid w:val="7AB20098"/>
    <w:rsid w:val="7F4D5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Cambria" w:hAnsi="Cambria" w:eastAsia="宋体" w:cs="Times New Roman"/>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qFormat/>
    <w:uiPriority w:val="0"/>
  </w:style>
  <w:style w:type="paragraph" w:customStyle="1" w:styleId="7">
    <w:name w:val="WPSOffice手动目录 1"/>
    <w:qFormat/>
    <w:uiPriority w:val="0"/>
    <w:rPr>
      <w:rFonts w:ascii="Times New Roman" w:hAnsi="Times New Roman" w:eastAsia="宋体" w:cs="Times New Roman"/>
      <w:lang w:val="en-US" w:eastAsia="zh-CN" w:bidi="ar-SA"/>
    </w:rPr>
  </w:style>
  <w:style w:type="paragraph" w:customStyle="1" w:styleId="8">
    <w:name w:val="WPSOffice手动目录 2"/>
    <w:qFormat/>
    <w:uiPriority w:val="0"/>
    <w:pPr>
      <w:ind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2023-10-18T03:29:00Z</dcterms:created>
  <dc:creator>琳</dc:creator>
  <cp:lastModifiedBy>琳</cp:lastModifiedBy>
  <dcterms:modified xsi:type="dcterms:W3CDTF">2023-10-24T08:07:13Z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A506900D93CB48EE9D2D8124D7E6FCB1_13</vt:lpwstr>
  </property>
</Properties>
</file>