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60" w:lineRule="exact"/>
        <w:jc w:val="left"/>
        <w:textAlignment w:val="auto"/>
        <w:rPr>
          <w:rFonts w:hint="default" w:ascii="黑体" w:hAnsi="ˎ̥" w:eastAsia="黑体"/>
          <w:color w:val="000000"/>
          <w:sz w:val="32"/>
          <w:szCs w:val="32"/>
          <w:highlight w:val="none"/>
          <w:lang w:val="en-US" w:eastAsia="zh-CN"/>
        </w:rPr>
      </w:pPr>
      <w:r>
        <w:rPr>
          <w:rFonts w:hint="eastAsia" w:ascii="黑体" w:hAnsi="ˎ̥" w:eastAsia="黑体"/>
          <w:color w:val="000000"/>
          <w:sz w:val="32"/>
          <w:szCs w:val="32"/>
          <w:highlight w:val="none"/>
          <w:lang w:eastAsia="zh-CN"/>
        </w:rPr>
        <w:t>附件</w:t>
      </w:r>
      <w:r>
        <w:rPr>
          <w:rFonts w:hint="eastAsia" w:ascii="黑体" w:hAnsi="ˎ̥" w:eastAsia="黑体"/>
          <w:color w:val="000000"/>
          <w:sz w:val="32"/>
          <w:szCs w:val="32"/>
          <w:highlight w:val="none"/>
          <w:lang w:val="en-US" w:eastAsia="zh-CN"/>
        </w:rPr>
        <w:t>2</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黑体" w:hAnsi="ˎ̥" w:eastAsia="黑体"/>
          <w:color w:val="000000"/>
          <w:sz w:val="44"/>
          <w:szCs w:val="44"/>
          <w:highlight w:val="none"/>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黑体" w:hAnsi="ˎ̥" w:eastAsia="黑体"/>
          <w:color w:val="000000"/>
          <w:sz w:val="44"/>
          <w:szCs w:val="44"/>
          <w:highlight w:val="none"/>
        </w:rPr>
      </w:pPr>
      <w:r>
        <w:rPr>
          <w:rFonts w:hint="eastAsia" w:ascii="黑体" w:hAnsi="ˎ̥" w:eastAsia="黑体"/>
          <w:color w:val="000000"/>
          <w:sz w:val="44"/>
          <w:szCs w:val="44"/>
          <w:highlight w:val="none"/>
          <w:lang w:eastAsia="zh-CN"/>
        </w:rPr>
        <w:t>三亚中心医院</w:t>
      </w:r>
      <w:r>
        <w:rPr>
          <w:rFonts w:hint="eastAsia" w:ascii="黑体" w:hAnsi="ˎ̥" w:eastAsia="黑体"/>
          <w:color w:val="000000"/>
          <w:sz w:val="44"/>
          <w:szCs w:val="44"/>
          <w:highlight w:val="none"/>
        </w:rPr>
        <w:t>2022年度部门决算公开</w:t>
      </w:r>
      <w:r>
        <w:rPr>
          <w:rFonts w:ascii="黑体" w:hAnsi="ˎ̥" w:eastAsia="黑体"/>
          <w:color w:val="000000"/>
          <w:sz w:val="44"/>
          <w:szCs w:val="44"/>
          <w:highlight w:val="none"/>
        </w:rPr>
        <w:t>报告</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黑体" w:hAnsi="ˎ̥" w:eastAsia="黑体"/>
          <w:b/>
          <w:color w:val="000000"/>
          <w:sz w:val="32"/>
          <w:szCs w:val="32"/>
          <w:highlight w:val="none"/>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黑体" w:hAnsi="黑体" w:eastAsia="黑体" w:cs="黑体"/>
          <w:color w:val="000000"/>
          <w:sz w:val="44"/>
          <w:szCs w:val="44"/>
          <w:highlight w:val="none"/>
        </w:rPr>
      </w:pPr>
      <w:bookmarkStart w:id="0" w:name="_Toc11440_WPSOffice_Type2"/>
      <w:r>
        <w:rPr>
          <w:rFonts w:hint="eastAsia" w:ascii="黑体" w:hAnsi="黑体" w:eastAsia="黑体" w:cs="黑体"/>
          <w:color w:val="000000"/>
          <w:sz w:val="44"/>
          <w:szCs w:val="44"/>
          <w:highlight w:val="none"/>
        </w:rPr>
        <w:t>目  录</w:t>
      </w:r>
    </w:p>
    <w:p>
      <w:pPr>
        <w:pStyle w:val="7"/>
        <w:keepNext w:val="0"/>
        <w:keepLines w:val="0"/>
        <w:pageBreakBefore w:val="0"/>
        <w:tabs>
          <w:tab w:val="right" w:leader="dot" w:pos="8306"/>
        </w:tabs>
        <w:kinsoku/>
        <w:wordWrap/>
        <w:overflowPunct/>
        <w:topLinePunct w:val="0"/>
        <w:autoSpaceDE/>
        <w:autoSpaceDN/>
        <w:bidi w:val="0"/>
        <w:adjustRightInd/>
        <w:snapToGrid/>
        <w:spacing w:line="560" w:lineRule="exact"/>
        <w:textAlignment w:val="auto"/>
        <w:rPr>
          <w:color w:val="000000"/>
          <w:sz w:val="32"/>
          <w:szCs w:val="32"/>
          <w:highlight w:val="none"/>
        </w:rPr>
      </w:pPr>
      <w:r>
        <w:rPr>
          <w:color w:val="000000"/>
          <w:sz w:val="32"/>
          <w:szCs w:val="32"/>
          <w:highlight w:val="none"/>
        </w:rPr>
        <w:fldChar w:fldCharType="begin"/>
      </w:r>
      <w:r>
        <w:rPr>
          <w:color w:val="000000"/>
          <w:sz w:val="32"/>
          <w:szCs w:val="32"/>
          <w:highlight w:val="none"/>
        </w:rPr>
        <w:instrText xml:space="preserve"> HYPERLINK \l _Toc1704_WPSOffice_Level1 </w:instrText>
      </w:r>
      <w:r>
        <w:rPr>
          <w:color w:val="000000"/>
          <w:sz w:val="32"/>
          <w:szCs w:val="32"/>
          <w:highlight w:val="none"/>
        </w:rPr>
        <w:fldChar w:fldCharType="separate"/>
      </w:r>
      <w:r>
        <w:rPr>
          <w:rFonts w:hint="eastAsia" w:ascii="黑体" w:hAnsi="ˎ̥" w:eastAsia="黑体"/>
          <w:color w:val="000000"/>
          <w:sz w:val="32"/>
          <w:szCs w:val="32"/>
          <w:highlight w:val="none"/>
        </w:rPr>
        <w:t>第一部分 基本情况</w:t>
      </w:r>
      <w:r>
        <w:rPr>
          <w:color w:val="000000"/>
          <w:sz w:val="32"/>
          <w:szCs w:val="32"/>
          <w:highlight w:val="none"/>
        </w:rPr>
        <w:tab/>
      </w:r>
      <w:r>
        <w:rPr>
          <w:rFonts w:hint="eastAsia"/>
          <w:color w:val="000000"/>
          <w:sz w:val="32"/>
          <w:szCs w:val="32"/>
          <w:highlight w:val="none"/>
          <w:lang w:val="en-US" w:eastAsia="zh-CN"/>
        </w:rPr>
        <w:t>2</w:t>
      </w:r>
      <w:r>
        <w:rPr>
          <w:color w:val="000000"/>
          <w:sz w:val="32"/>
          <w:szCs w:val="32"/>
          <w:highlight w:val="none"/>
        </w:rPr>
        <w:fldChar w:fldCharType="end"/>
      </w:r>
    </w:p>
    <w:p>
      <w:pPr>
        <w:pStyle w:val="8"/>
        <w:keepNext w:val="0"/>
        <w:keepLines w:val="0"/>
        <w:pageBreakBefore w:val="0"/>
        <w:tabs>
          <w:tab w:val="right" w:leader="dot" w:pos="8306"/>
        </w:tabs>
        <w:kinsoku/>
        <w:wordWrap/>
        <w:overflowPunct/>
        <w:topLinePunct w:val="0"/>
        <w:autoSpaceDE/>
        <w:autoSpaceDN/>
        <w:bidi w:val="0"/>
        <w:adjustRightInd/>
        <w:snapToGrid/>
        <w:spacing w:line="560" w:lineRule="exact"/>
        <w:ind w:leftChars="0"/>
        <w:textAlignment w:val="auto"/>
        <w:rPr>
          <w:rFonts w:hint="eastAsia" w:ascii="仿宋" w:hAnsi="仿宋" w:eastAsia="仿宋" w:cs="仿宋"/>
          <w:color w:val="000000"/>
          <w:sz w:val="32"/>
          <w:szCs w:val="32"/>
          <w:highlight w:val="none"/>
        </w:rPr>
      </w:pPr>
      <w:r>
        <w:rPr>
          <w:rFonts w:hint="eastAsia" w:ascii="仿宋" w:hAnsi="仿宋" w:eastAsia="仿宋" w:cs="仿宋"/>
          <w:color w:val="000000"/>
          <w:sz w:val="32"/>
          <w:szCs w:val="32"/>
          <w:highlight w:val="none"/>
        </w:rPr>
        <w:fldChar w:fldCharType="begin"/>
      </w:r>
      <w:r>
        <w:rPr>
          <w:rFonts w:hint="eastAsia" w:ascii="仿宋" w:hAnsi="仿宋" w:eastAsia="仿宋" w:cs="仿宋"/>
          <w:color w:val="000000"/>
          <w:sz w:val="32"/>
          <w:szCs w:val="32"/>
          <w:highlight w:val="none"/>
        </w:rPr>
        <w:instrText xml:space="preserve"> HYPERLINK \l _Toc20274_WPSOffice_Level2 </w:instrText>
      </w:r>
      <w:r>
        <w:rPr>
          <w:rFonts w:hint="eastAsia" w:ascii="仿宋" w:hAnsi="仿宋" w:eastAsia="仿宋" w:cs="仿宋"/>
          <w:color w:val="000000"/>
          <w:sz w:val="32"/>
          <w:szCs w:val="32"/>
          <w:highlight w:val="none"/>
        </w:rPr>
        <w:fldChar w:fldCharType="separate"/>
      </w:r>
      <w:r>
        <w:rPr>
          <w:rFonts w:hint="eastAsia" w:ascii="仿宋" w:hAnsi="仿宋" w:eastAsia="仿宋" w:cs="仿宋"/>
          <w:color w:val="000000"/>
          <w:sz w:val="32"/>
          <w:szCs w:val="32"/>
          <w:highlight w:val="none"/>
        </w:rPr>
        <w:t>一、部门</w:t>
      </w:r>
      <w:r>
        <w:rPr>
          <w:rFonts w:hint="eastAsia" w:ascii="仿宋" w:hAnsi="仿宋" w:eastAsia="仿宋" w:cs="仿宋"/>
          <w:color w:val="000000"/>
          <w:sz w:val="32"/>
          <w:szCs w:val="32"/>
          <w:highlight w:val="none"/>
          <w:lang w:eastAsia="zh-CN"/>
        </w:rPr>
        <w:t>（单位）</w:t>
      </w:r>
      <w:r>
        <w:rPr>
          <w:rFonts w:hint="eastAsia" w:ascii="仿宋" w:hAnsi="仿宋" w:eastAsia="仿宋" w:cs="仿宋"/>
          <w:color w:val="000000"/>
          <w:sz w:val="32"/>
          <w:szCs w:val="32"/>
          <w:highlight w:val="none"/>
        </w:rPr>
        <w:t>职责</w:t>
      </w:r>
      <w:r>
        <w:rPr>
          <w:rFonts w:hint="eastAsia" w:ascii="仿宋" w:hAnsi="仿宋" w:eastAsia="仿宋" w:cs="仿宋"/>
          <w:color w:val="000000"/>
          <w:sz w:val="32"/>
          <w:szCs w:val="32"/>
          <w:highlight w:val="none"/>
        </w:rPr>
        <w:tab/>
      </w:r>
      <w:r>
        <w:rPr>
          <w:rFonts w:hint="eastAsia" w:ascii="仿宋" w:hAnsi="仿宋" w:eastAsia="仿宋" w:cs="仿宋"/>
          <w:color w:val="000000"/>
          <w:sz w:val="32"/>
          <w:szCs w:val="32"/>
          <w:highlight w:val="none"/>
          <w:lang w:val="en-US" w:eastAsia="zh-CN"/>
        </w:rPr>
        <w:t>2</w:t>
      </w:r>
      <w:r>
        <w:rPr>
          <w:rFonts w:hint="eastAsia" w:ascii="仿宋" w:hAnsi="仿宋" w:eastAsia="仿宋" w:cs="仿宋"/>
          <w:color w:val="000000"/>
          <w:sz w:val="32"/>
          <w:szCs w:val="32"/>
          <w:highlight w:val="none"/>
        </w:rPr>
        <w:fldChar w:fldCharType="end"/>
      </w:r>
    </w:p>
    <w:p>
      <w:pPr>
        <w:pStyle w:val="8"/>
        <w:keepNext w:val="0"/>
        <w:keepLines w:val="0"/>
        <w:pageBreakBefore w:val="0"/>
        <w:tabs>
          <w:tab w:val="right" w:leader="dot" w:pos="8306"/>
        </w:tabs>
        <w:kinsoku/>
        <w:wordWrap/>
        <w:overflowPunct/>
        <w:topLinePunct w:val="0"/>
        <w:autoSpaceDE/>
        <w:autoSpaceDN/>
        <w:bidi w:val="0"/>
        <w:adjustRightInd/>
        <w:snapToGrid/>
        <w:spacing w:line="560" w:lineRule="exact"/>
        <w:ind w:leftChars="0"/>
        <w:textAlignment w:val="auto"/>
        <w:rPr>
          <w:rFonts w:hint="eastAsia" w:ascii="仿宋" w:hAnsi="仿宋" w:eastAsia="仿宋" w:cs="仿宋"/>
          <w:color w:val="000000"/>
          <w:sz w:val="32"/>
          <w:szCs w:val="32"/>
          <w:highlight w:val="none"/>
        </w:rPr>
      </w:pPr>
      <w:r>
        <w:rPr>
          <w:rFonts w:hint="eastAsia" w:ascii="仿宋" w:hAnsi="仿宋" w:eastAsia="仿宋" w:cs="仿宋"/>
          <w:color w:val="000000"/>
          <w:sz w:val="32"/>
          <w:szCs w:val="32"/>
          <w:highlight w:val="none"/>
        </w:rPr>
        <w:fldChar w:fldCharType="begin"/>
      </w:r>
      <w:r>
        <w:rPr>
          <w:rFonts w:hint="eastAsia" w:ascii="仿宋" w:hAnsi="仿宋" w:eastAsia="仿宋" w:cs="仿宋"/>
          <w:color w:val="000000"/>
          <w:sz w:val="32"/>
          <w:szCs w:val="32"/>
          <w:highlight w:val="none"/>
        </w:rPr>
        <w:instrText xml:space="preserve"> HYPERLINK \l _Toc4833_WPSOffice_Level2 </w:instrText>
      </w:r>
      <w:r>
        <w:rPr>
          <w:rFonts w:hint="eastAsia" w:ascii="仿宋" w:hAnsi="仿宋" w:eastAsia="仿宋" w:cs="仿宋"/>
          <w:color w:val="000000"/>
          <w:sz w:val="32"/>
          <w:szCs w:val="32"/>
          <w:highlight w:val="none"/>
        </w:rPr>
        <w:fldChar w:fldCharType="separate"/>
      </w:r>
      <w:r>
        <w:rPr>
          <w:rFonts w:hint="eastAsia" w:ascii="仿宋" w:hAnsi="仿宋" w:eastAsia="仿宋" w:cs="仿宋"/>
          <w:color w:val="000000"/>
          <w:sz w:val="32"/>
          <w:szCs w:val="32"/>
          <w:highlight w:val="none"/>
        </w:rPr>
        <w:t>二、机构设置</w:t>
      </w:r>
      <w:r>
        <w:rPr>
          <w:rFonts w:hint="eastAsia" w:ascii="仿宋" w:hAnsi="仿宋" w:eastAsia="仿宋" w:cs="仿宋"/>
          <w:color w:val="000000"/>
          <w:sz w:val="32"/>
          <w:szCs w:val="32"/>
          <w:highlight w:val="none"/>
        </w:rPr>
        <w:tab/>
      </w:r>
      <w:r>
        <w:rPr>
          <w:rFonts w:hint="eastAsia" w:ascii="仿宋" w:hAnsi="仿宋" w:eastAsia="仿宋" w:cs="仿宋"/>
          <w:color w:val="000000"/>
          <w:sz w:val="32"/>
          <w:szCs w:val="32"/>
          <w:highlight w:val="none"/>
          <w:lang w:val="en-US" w:eastAsia="zh-CN"/>
        </w:rPr>
        <w:t>2</w:t>
      </w:r>
      <w:r>
        <w:rPr>
          <w:rFonts w:hint="eastAsia" w:ascii="仿宋" w:hAnsi="仿宋" w:eastAsia="仿宋" w:cs="仿宋"/>
          <w:color w:val="000000"/>
          <w:sz w:val="32"/>
          <w:szCs w:val="32"/>
          <w:highlight w:val="none"/>
        </w:rPr>
        <w:fldChar w:fldCharType="end"/>
      </w:r>
    </w:p>
    <w:p>
      <w:pPr>
        <w:pStyle w:val="7"/>
        <w:keepNext w:val="0"/>
        <w:keepLines w:val="0"/>
        <w:pageBreakBefore w:val="0"/>
        <w:tabs>
          <w:tab w:val="right" w:leader="dot" w:pos="8306"/>
        </w:tabs>
        <w:kinsoku/>
        <w:wordWrap/>
        <w:overflowPunct/>
        <w:topLinePunct w:val="0"/>
        <w:autoSpaceDE/>
        <w:autoSpaceDN/>
        <w:bidi w:val="0"/>
        <w:adjustRightInd/>
        <w:snapToGrid/>
        <w:spacing w:line="560" w:lineRule="exact"/>
        <w:textAlignment w:val="auto"/>
        <w:rPr>
          <w:color w:val="000000"/>
          <w:sz w:val="32"/>
          <w:szCs w:val="32"/>
          <w:highlight w:val="none"/>
        </w:rPr>
      </w:pPr>
      <w:r>
        <w:rPr>
          <w:color w:val="000000"/>
          <w:sz w:val="32"/>
          <w:szCs w:val="32"/>
          <w:highlight w:val="none"/>
        </w:rPr>
        <w:fldChar w:fldCharType="begin"/>
      </w:r>
      <w:r>
        <w:rPr>
          <w:color w:val="000000"/>
          <w:sz w:val="32"/>
          <w:szCs w:val="32"/>
          <w:highlight w:val="none"/>
        </w:rPr>
        <w:instrText xml:space="preserve"> HYPERLINK \l _Toc28253_WPSOffice_Level1 </w:instrText>
      </w:r>
      <w:r>
        <w:rPr>
          <w:color w:val="000000"/>
          <w:sz w:val="32"/>
          <w:szCs w:val="32"/>
          <w:highlight w:val="none"/>
        </w:rPr>
        <w:fldChar w:fldCharType="separate"/>
      </w:r>
      <w:r>
        <w:rPr>
          <w:rFonts w:hint="eastAsia" w:ascii="黑体" w:hAnsi="ˎ̥" w:eastAsia="黑体"/>
          <w:color w:val="000000"/>
          <w:sz w:val="32"/>
          <w:szCs w:val="32"/>
          <w:highlight w:val="none"/>
        </w:rPr>
        <w:t>第二部分  202</w:t>
      </w:r>
      <w:r>
        <w:rPr>
          <w:rFonts w:ascii="黑体" w:hAnsi="ˎ̥" w:eastAsia="黑体"/>
          <w:color w:val="000000"/>
          <w:sz w:val="32"/>
          <w:szCs w:val="32"/>
          <w:highlight w:val="none"/>
        </w:rPr>
        <w:t>2</w:t>
      </w:r>
      <w:r>
        <w:rPr>
          <w:rFonts w:hint="eastAsia" w:ascii="黑体" w:hAnsi="ˎ̥" w:eastAsia="黑体"/>
          <w:color w:val="000000"/>
          <w:sz w:val="32"/>
          <w:szCs w:val="32"/>
          <w:highlight w:val="none"/>
        </w:rPr>
        <w:t>年度部门决算公开表</w:t>
      </w:r>
      <w:r>
        <w:rPr>
          <w:color w:val="000000"/>
          <w:sz w:val="32"/>
          <w:szCs w:val="32"/>
          <w:highlight w:val="none"/>
        </w:rPr>
        <w:tab/>
      </w:r>
      <w:r>
        <w:rPr>
          <w:rFonts w:hint="eastAsia"/>
          <w:color w:val="000000"/>
          <w:sz w:val="32"/>
          <w:szCs w:val="32"/>
          <w:highlight w:val="none"/>
          <w:lang w:val="en-US" w:eastAsia="zh-CN"/>
        </w:rPr>
        <w:t>2</w:t>
      </w:r>
      <w:r>
        <w:rPr>
          <w:color w:val="000000"/>
          <w:sz w:val="32"/>
          <w:szCs w:val="32"/>
          <w:highlight w:val="none"/>
        </w:rPr>
        <w:fldChar w:fldCharType="end"/>
      </w:r>
    </w:p>
    <w:p>
      <w:pPr>
        <w:pStyle w:val="7"/>
        <w:keepNext w:val="0"/>
        <w:keepLines w:val="0"/>
        <w:pageBreakBefore w:val="0"/>
        <w:tabs>
          <w:tab w:val="right" w:leader="dot" w:pos="8306"/>
        </w:tabs>
        <w:kinsoku/>
        <w:wordWrap/>
        <w:overflowPunct/>
        <w:topLinePunct w:val="0"/>
        <w:autoSpaceDE/>
        <w:autoSpaceDN/>
        <w:bidi w:val="0"/>
        <w:adjustRightInd/>
        <w:snapToGrid/>
        <w:spacing w:line="560" w:lineRule="exact"/>
        <w:textAlignment w:val="auto"/>
        <w:rPr>
          <w:color w:val="000000"/>
          <w:sz w:val="32"/>
          <w:szCs w:val="32"/>
          <w:highlight w:val="none"/>
        </w:rPr>
      </w:pPr>
      <w:r>
        <w:rPr>
          <w:color w:val="000000"/>
          <w:sz w:val="32"/>
          <w:szCs w:val="32"/>
          <w:highlight w:val="none"/>
        </w:rPr>
        <w:fldChar w:fldCharType="begin"/>
      </w:r>
      <w:r>
        <w:rPr>
          <w:color w:val="000000"/>
          <w:sz w:val="32"/>
          <w:szCs w:val="32"/>
          <w:highlight w:val="none"/>
        </w:rPr>
        <w:instrText xml:space="preserve"> HYPERLINK \l _Toc27590_WPSOffice_Level1 </w:instrText>
      </w:r>
      <w:r>
        <w:rPr>
          <w:color w:val="000000"/>
          <w:sz w:val="32"/>
          <w:szCs w:val="32"/>
          <w:highlight w:val="none"/>
        </w:rPr>
        <w:fldChar w:fldCharType="separate"/>
      </w:r>
      <w:r>
        <w:rPr>
          <w:rFonts w:hint="eastAsia" w:ascii="黑体" w:hAnsi="黑体" w:eastAsia="黑体" w:cs="黑体"/>
          <w:color w:val="000000"/>
          <w:sz w:val="32"/>
          <w:szCs w:val="32"/>
          <w:highlight w:val="none"/>
        </w:rPr>
        <w:t>第三部分</w:t>
      </w:r>
      <w:r>
        <w:rPr>
          <w:rFonts w:hint="eastAsia"/>
          <w:color w:val="000000"/>
          <w:sz w:val="32"/>
          <w:szCs w:val="32"/>
          <w:highlight w:val="none"/>
        </w:rPr>
        <w:t xml:space="preserve">  </w:t>
      </w:r>
      <w:r>
        <w:rPr>
          <w:rFonts w:hint="eastAsia" w:ascii="黑体" w:hAnsi="ˎ̥" w:eastAsia="黑体"/>
          <w:color w:val="000000"/>
          <w:sz w:val="32"/>
          <w:szCs w:val="32"/>
          <w:highlight w:val="none"/>
        </w:rPr>
        <w:t>2022年度部门决算情况说明</w:t>
      </w:r>
      <w:r>
        <w:rPr>
          <w:color w:val="000000"/>
          <w:sz w:val="32"/>
          <w:szCs w:val="32"/>
          <w:highlight w:val="none"/>
        </w:rPr>
        <w:tab/>
      </w:r>
      <w:r>
        <w:rPr>
          <w:rFonts w:hint="eastAsia"/>
          <w:color w:val="000000"/>
          <w:sz w:val="32"/>
          <w:szCs w:val="32"/>
          <w:highlight w:val="none"/>
          <w:lang w:val="en-US" w:eastAsia="zh-CN"/>
        </w:rPr>
        <w:t>3</w:t>
      </w:r>
      <w:r>
        <w:rPr>
          <w:color w:val="000000"/>
          <w:sz w:val="32"/>
          <w:szCs w:val="32"/>
          <w:highlight w:val="none"/>
        </w:rPr>
        <w:fldChar w:fldCharType="end"/>
      </w:r>
    </w:p>
    <w:p>
      <w:pPr>
        <w:pStyle w:val="8"/>
        <w:keepNext w:val="0"/>
        <w:keepLines w:val="0"/>
        <w:pageBreakBefore w:val="0"/>
        <w:tabs>
          <w:tab w:val="right" w:leader="dot" w:pos="8306"/>
        </w:tabs>
        <w:kinsoku/>
        <w:wordWrap/>
        <w:overflowPunct/>
        <w:topLinePunct w:val="0"/>
        <w:autoSpaceDE/>
        <w:autoSpaceDN/>
        <w:bidi w:val="0"/>
        <w:adjustRightInd/>
        <w:snapToGrid/>
        <w:spacing w:line="560" w:lineRule="exact"/>
        <w:ind w:leftChars="0"/>
        <w:textAlignment w:val="auto"/>
        <w:rPr>
          <w:rFonts w:hint="eastAsia" w:ascii="仿宋" w:hAnsi="仿宋" w:eastAsia="仿宋" w:cs="仿宋"/>
          <w:color w:val="000000"/>
          <w:sz w:val="32"/>
          <w:szCs w:val="32"/>
          <w:highlight w:val="none"/>
        </w:rPr>
      </w:pPr>
      <w:r>
        <w:rPr>
          <w:rFonts w:hint="eastAsia" w:ascii="仿宋" w:hAnsi="仿宋" w:eastAsia="仿宋" w:cs="仿宋"/>
          <w:color w:val="000000"/>
          <w:sz w:val="32"/>
          <w:szCs w:val="32"/>
          <w:highlight w:val="none"/>
        </w:rPr>
        <w:fldChar w:fldCharType="begin"/>
      </w:r>
      <w:r>
        <w:rPr>
          <w:rFonts w:hint="eastAsia" w:ascii="仿宋" w:hAnsi="仿宋" w:eastAsia="仿宋" w:cs="仿宋"/>
          <w:color w:val="000000"/>
          <w:sz w:val="32"/>
          <w:szCs w:val="32"/>
          <w:highlight w:val="none"/>
        </w:rPr>
        <w:instrText xml:space="preserve"> HYPERLINK \l _Toc21737_WPSOffice_Level2 </w:instrText>
      </w:r>
      <w:r>
        <w:rPr>
          <w:rFonts w:hint="eastAsia" w:ascii="仿宋" w:hAnsi="仿宋" w:eastAsia="仿宋" w:cs="仿宋"/>
          <w:color w:val="000000"/>
          <w:sz w:val="32"/>
          <w:szCs w:val="32"/>
          <w:highlight w:val="none"/>
        </w:rPr>
        <w:fldChar w:fldCharType="separate"/>
      </w:r>
      <w:r>
        <w:rPr>
          <w:rFonts w:hint="eastAsia" w:ascii="仿宋" w:hAnsi="仿宋" w:eastAsia="仿宋" w:cs="仿宋"/>
          <w:bCs/>
          <w:color w:val="000000"/>
          <w:sz w:val="32"/>
          <w:szCs w:val="32"/>
          <w:highlight w:val="none"/>
        </w:rPr>
        <w:t>一、收入支出总体情况说明</w:t>
      </w:r>
      <w:r>
        <w:rPr>
          <w:rFonts w:hint="eastAsia" w:ascii="仿宋" w:hAnsi="仿宋" w:eastAsia="仿宋" w:cs="仿宋"/>
          <w:color w:val="000000"/>
          <w:sz w:val="32"/>
          <w:szCs w:val="32"/>
          <w:highlight w:val="none"/>
        </w:rPr>
        <w:tab/>
      </w:r>
      <w:r>
        <w:rPr>
          <w:rFonts w:hint="eastAsia" w:ascii="仿宋" w:hAnsi="仿宋" w:eastAsia="仿宋" w:cs="仿宋"/>
          <w:color w:val="000000"/>
          <w:sz w:val="32"/>
          <w:szCs w:val="32"/>
          <w:highlight w:val="none"/>
          <w:lang w:val="en-US" w:eastAsia="zh-CN"/>
        </w:rPr>
        <w:t>3</w:t>
      </w:r>
      <w:r>
        <w:rPr>
          <w:rFonts w:hint="eastAsia" w:ascii="仿宋" w:hAnsi="仿宋" w:eastAsia="仿宋" w:cs="仿宋"/>
          <w:color w:val="000000"/>
          <w:sz w:val="32"/>
          <w:szCs w:val="32"/>
          <w:highlight w:val="none"/>
        </w:rPr>
        <w:fldChar w:fldCharType="end"/>
      </w:r>
    </w:p>
    <w:p>
      <w:pPr>
        <w:pStyle w:val="8"/>
        <w:keepNext w:val="0"/>
        <w:keepLines w:val="0"/>
        <w:pageBreakBefore w:val="0"/>
        <w:tabs>
          <w:tab w:val="right" w:leader="dot" w:pos="8306"/>
        </w:tabs>
        <w:kinsoku/>
        <w:wordWrap/>
        <w:overflowPunct/>
        <w:topLinePunct w:val="0"/>
        <w:autoSpaceDE/>
        <w:autoSpaceDN/>
        <w:bidi w:val="0"/>
        <w:adjustRightInd/>
        <w:snapToGrid/>
        <w:spacing w:line="560" w:lineRule="exact"/>
        <w:ind w:leftChars="0"/>
        <w:textAlignment w:val="auto"/>
        <w:rPr>
          <w:rFonts w:hint="eastAsia" w:ascii="仿宋" w:hAnsi="仿宋" w:eastAsia="仿宋" w:cs="仿宋"/>
          <w:color w:val="000000"/>
          <w:sz w:val="32"/>
          <w:szCs w:val="32"/>
          <w:highlight w:val="none"/>
        </w:rPr>
      </w:pPr>
      <w:r>
        <w:rPr>
          <w:rFonts w:hint="eastAsia" w:ascii="仿宋" w:hAnsi="仿宋" w:eastAsia="仿宋" w:cs="仿宋"/>
          <w:color w:val="000000"/>
          <w:sz w:val="32"/>
          <w:szCs w:val="32"/>
          <w:highlight w:val="none"/>
        </w:rPr>
        <w:fldChar w:fldCharType="begin"/>
      </w:r>
      <w:r>
        <w:rPr>
          <w:rFonts w:hint="eastAsia" w:ascii="仿宋" w:hAnsi="仿宋" w:eastAsia="仿宋" w:cs="仿宋"/>
          <w:color w:val="000000"/>
          <w:sz w:val="32"/>
          <w:szCs w:val="32"/>
          <w:highlight w:val="none"/>
        </w:rPr>
        <w:instrText xml:space="preserve"> HYPERLINK \l _Toc19535_WPSOffice_Level2 </w:instrText>
      </w:r>
      <w:r>
        <w:rPr>
          <w:rFonts w:hint="eastAsia" w:ascii="仿宋" w:hAnsi="仿宋" w:eastAsia="仿宋" w:cs="仿宋"/>
          <w:color w:val="000000"/>
          <w:sz w:val="32"/>
          <w:szCs w:val="32"/>
          <w:highlight w:val="none"/>
        </w:rPr>
        <w:fldChar w:fldCharType="separate"/>
      </w:r>
      <w:r>
        <w:rPr>
          <w:rFonts w:hint="eastAsia" w:ascii="仿宋" w:hAnsi="仿宋" w:eastAsia="仿宋" w:cs="仿宋"/>
          <w:bCs/>
          <w:color w:val="000000"/>
          <w:sz w:val="32"/>
          <w:szCs w:val="32"/>
          <w:highlight w:val="none"/>
        </w:rPr>
        <w:t>二、收入决算情况说明</w:t>
      </w:r>
      <w:r>
        <w:rPr>
          <w:rFonts w:hint="eastAsia" w:ascii="仿宋" w:hAnsi="仿宋" w:eastAsia="仿宋" w:cs="仿宋"/>
          <w:color w:val="000000"/>
          <w:sz w:val="32"/>
          <w:szCs w:val="32"/>
          <w:highlight w:val="none"/>
        </w:rPr>
        <w:tab/>
      </w:r>
      <w:r>
        <w:rPr>
          <w:rFonts w:hint="eastAsia" w:ascii="仿宋" w:hAnsi="仿宋" w:eastAsia="仿宋" w:cs="仿宋"/>
          <w:color w:val="000000"/>
          <w:sz w:val="32"/>
          <w:szCs w:val="32"/>
          <w:highlight w:val="none"/>
          <w:lang w:val="en-US" w:eastAsia="zh-CN"/>
        </w:rPr>
        <w:t>3</w:t>
      </w:r>
      <w:r>
        <w:rPr>
          <w:rFonts w:hint="eastAsia" w:ascii="仿宋" w:hAnsi="仿宋" w:eastAsia="仿宋" w:cs="仿宋"/>
          <w:color w:val="000000"/>
          <w:sz w:val="32"/>
          <w:szCs w:val="32"/>
          <w:highlight w:val="none"/>
        </w:rPr>
        <w:fldChar w:fldCharType="end"/>
      </w:r>
    </w:p>
    <w:p>
      <w:pPr>
        <w:pStyle w:val="8"/>
        <w:keepNext w:val="0"/>
        <w:keepLines w:val="0"/>
        <w:pageBreakBefore w:val="0"/>
        <w:tabs>
          <w:tab w:val="right" w:leader="dot" w:pos="8306"/>
        </w:tabs>
        <w:kinsoku/>
        <w:wordWrap/>
        <w:overflowPunct/>
        <w:topLinePunct w:val="0"/>
        <w:autoSpaceDE/>
        <w:autoSpaceDN/>
        <w:bidi w:val="0"/>
        <w:adjustRightInd/>
        <w:snapToGrid/>
        <w:spacing w:line="560" w:lineRule="exact"/>
        <w:ind w:leftChars="0"/>
        <w:textAlignment w:val="auto"/>
        <w:rPr>
          <w:rFonts w:hint="eastAsia" w:ascii="仿宋" w:hAnsi="仿宋" w:eastAsia="仿宋" w:cs="仿宋"/>
          <w:color w:val="000000"/>
          <w:sz w:val="32"/>
          <w:szCs w:val="32"/>
          <w:highlight w:val="none"/>
        </w:rPr>
      </w:pPr>
      <w:r>
        <w:rPr>
          <w:rFonts w:hint="eastAsia" w:ascii="仿宋" w:hAnsi="仿宋" w:eastAsia="仿宋" w:cs="仿宋"/>
          <w:color w:val="000000"/>
          <w:sz w:val="32"/>
          <w:szCs w:val="32"/>
          <w:highlight w:val="none"/>
        </w:rPr>
        <w:fldChar w:fldCharType="begin"/>
      </w:r>
      <w:r>
        <w:rPr>
          <w:rFonts w:hint="eastAsia" w:ascii="仿宋" w:hAnsi="仿宋" w:eastAsia="仿宋" w:cs="仿宋"/>
          <w:color w:val="000000"/>
          <w:sz w:val="32"/>
          <w:szCs w:val="32"/>
          <w:highlight w:val="none"/>
        </w:rPr>
        <w:instrText xml:space="preserve"> HYPERLINK \l _Toc19535_WPSOffice_Level2 </w:instrText>
      </w:r>
      <w:r>
        <w:rPr>
          <w:rFonts w:hint="eastAsia" w:ascii="仿宋" w:hAnsi="仿宋" w:eastAsia="仿宋" w:cs="仿宋"/>
          <w:color w:val="000000"/>
          <w:sz w:val="32"/>
          <w:szCs w:val="32"/>
          <w:highlight w:val="none"/>
        </w:rPr>
        <w:fldChar w:fldCharType="separate"/>
      </w:r>
      <w:r>
        <w:rPr>
          <w:rFonts w:hint="eastAsia" w:ascii="仿宋" w:hAnsi="仿宋" w:eastAsia="仿宋" w:cs="仿宋"/>
          <w:bCs/>
          <w:color w:val="000000"/>
          <w:sz w:val="32"/>
          <w:szCs w:val="32"/>
          <w:highlight w:val="none"/>
        </w:rPr>
        <w:t>三、支出决算情况说明</w:t>
      </w:r>
      <w:r>
        <w:rPr>
          <w:rFonts w:hint="eastAsia" w:ascii="仿宋" w:hAnsi="仿宋" w:eastAsia="仿宋" w:cs="仿宋"/>
          <w:color w:val="000000"/>
          <w:sz w:val="32"/>
          <w:szCs w:val="32"/>
          <w:highlight w:val="none"/>
        </w:rPr>
        <w:tab/>
      </w:r>
      <w:r>
        <w:rPr>
          <w:rFonts w:hint="eastAsia" w:ascii="仿宋" w:hAnsi="仿宋" w:eastAsia="仿宋" w:cs="仿宋"/>
          <w:color w:val="000000"/>
          <w:sz w:val="32"/>
          <w:szCs w:val="32"/>
          <w:highlight w:val="none"/>
          <w:lang w:val="en-US" w:eastAsia="zh-CN"/>
        </w:rPr>
        <w:t>4</w:t>
      </w:r>
      <w:r>
        <w:rPr>
          <w:rFonts w:hint="eastAsia" w:ascii="仿宋" w:hAnsi="仿宋" w:eastAsia="仿宋" w:cs="仿宋"/>
          <w:color w:val="000000"/>
          <w:sz w:val="32"/>
          <w:szCs w:val="32"/>
          <w:highlight w:val="none"/>
        </w:rPr>
        <w:fldChar w:fldCharType="end"/>
      </w:r>
    </w:p>
    <w:p>
      <w:pPr>
        <w:pStyle w:val="8"/>
        <w:keepNext w:val="0"/>
        <w:keepLines w:val="0"/>
        <w:pageBreakBefore w:val="0"/>
        <w:tabs>
          <w:tab w:val="right" w:leader="dot" w:pos="8306"/>
        </w:tabs>
        <w:kinsoku/>
        <w:wordWrap/>
        <w:overflowPunct/>
        <w:topLinePunct w:val="0"/>
        <w:autoSpaceDE/>
        <w:autoSpaceDN/>
        <w:bidi w:val="0"/>
        <w:adjustRightInd/>
        <w:snapToGrid/>
        <w:spacing w:line="560" w:lineRule="exact"/>
        <w:ind w:leftChars="0"/>
        <w:textAlignment w:val="auto"/>
        <w:rPr>
          <w:rFonts w:hint="eastAsia" w:ascii="仿宋" w:hAnsi="仿宋" w:eastAsia="仿宋" w:cs="仿宋"/>
          <w:color w:val="000000"/>
          <w:sz w:val="32"/>
          <w:szCs w:val="32"/>
          <w:highlight w:val="none"/>
        </w:rPr>
      </w:pPr>
      <w:r>
        <w:rPr>
          <w:rFonts w:hint="eastAsia" w:ascii="仿宋" w:hAnsi="仿宋" w:eastAsia="仿宋" w:cs="仿宋"/>
          <w:color w:val="000000"/>
          <w:sz w:val="32"/>
          <w:szCs w:val="32"/>
          <w:highlight w:val="none"/>
        </w:rPr>
        <w:fldChar w:fldCharType="begin"/>
      </w:r>
      <w:r>
        <w:rPr>
          <w:rFonts w:hint="eastAsia" w:ascii="仿宋" w:hAnsi="仿宋" w:eastAsia="仿宋" w:cs="仿宋"/>
          <w:color w:val="000000"/>
          <w:sz w:val="32"/>
          <w:szCs w:val="32"/>
          <w:highlight w:val="none"/>
        </w:rPr>
        <w:instrText xml:space="preserve"> HYPERLINK \l _Toc19535_WPSOffice_Level2 </w:instrText>
      </w:r>
      <w:r>
        <w:rPr>
          <w:rFonts w:hint="eastAsia" w:ascii="仿宋" w:hAnsi="仿宋" w:eastAsia="仿宋" w:cs="仿宋"/>
          <w:color w:val="000000"/>
          <w:sz w:val="32"/>
          <w:szCs w:val="32"/>
          <w:highlight w:val="none"/>
        </w:rPr>
        <w:fldChar w:fldCharType="separate"/>
      </w:r>
      <w:r>
        <w:rPr>
          <w:rFonts w:hint="eastAsia" w:ascii="仿宋" w:hAnsi="仿宋" w:eastAsia="仿宋" w:cs="仿宋"/>
          <w:bCs/>
          <w:color w:val="000000"/>
          <w:sz w:val="32"/>
          <w:szCs w:val="32"/>
          <w:highlight w:val="none"/>
        </w:rPr>
        <w:t>四、财政拨款收入支出决算情况说明</w:t>
      </w:r>
      <w:r>
        <w:rPr>
          <w:rFonts w:hint="eastAsia" w:ascii="仿宋" w:hAnsi="仿宋" w:eastAsia="仿宋" w:cs="仿宋"/>
          <w:color w:val="000000"/>
          <w:sz w:val="32"/>
          <w:szCs w:val="32"/>
          <w:highlight w:val="none"/>
        </w:rPr>
        <w:tab/>
      </w:r>
      <w:r>
        <w:rPr>
          <w:rFonts w:hint="eastAsia" w:ascii="仿宋" w:hAnsi="仿宋" w:eastAsia="仿宋" w:cs="仿宋"/>
          <w:color w:val="000000"/>
          <w:sz w:val="32"/>
          <w:szCs w:val="32"/>
          <w:highlight w:val="none"/>
          <w:lang w:val="en-US" w:eastAsia="zh-CN"/>
        </w:rPr>
        <w:t>4</w:t>
      </w:r>
      <w:r>
        <w:rPr>
          <w:rFonts w:hint="eastAsia" w:ascii="仿宋" w:hAnsi="仿宋" w:eastAsia="仿宋" w:cs="仿宋"/>
          <w:color w:val="000000"/>
          <w:sz w:val="32"/>
          <w:szCs w:val="32"/>
          <w:highlight w:val="none"/>
        </w:rPr>
        <w:fldChar w:fldCharType="end"/>
      </w:r>
    </w:p>
    <w:p>
      <w:pPr>
        <w:pStyle w:val="8"/>
        <w:keepNext w:val="0"/>
        <w:keepLines w:val="0"/>
        <w:pageBreakBefore w:val="0"/>
        <w:tabs>
          <w:tab w:val="right" w:leader="dot" w:pos="8306"/>
        </w:tabs>
        <w:kinsoku/>
        <w:wordWrap/>
        <w:overflowPunct/>
        <w:topLinePunct w:val="0"/>
        <w:autoSpaceDE/>
        <w:autoSpaceDN/>
        <w:bidi w:val="0"/>
        <w:adjustRightInd/>
        <w:snapToGrid/>
        <w:spacing w:line="560" w:lineRule="exact"/>
        <w:ind w:leftChars="0"/>
        <w:textAlignment w:val="auto"/>
        <w:rPr>
          <w:rFonts w:hint="eastAsia" w:ascii="仿宋" w:hAnsi="仿宋" w:eastAsia="仿宋" w:cs="仿宋"/>
          <w:color w:val="000000"/>
          <w:sz w:val="32"/>
          <w:szCs w:val="32"/>
          <w:highlight w:val="none"/>
        </w:rPr>
      </w:pPr>
      <w:r>
        <w:rPr>
          <w:rFonts w:hint="eastAsia" w:ascii="仿宋" w:hAnsi="仿宋" w:eastAsia="仿宋" w:cs="仿宋"/>
          <w:color w:val="000000"/>
          <w:sz w:val="32"/>
          <w:szCs w:val="32"/>
          <w:highlight w:val="none"/>
        </w:rPr>
        <w:fldChar w:fldCharType="begin"/>
      </w:r>
      <w:r>
        <w:rPr>
          <w:rFonts w:hint="eastAsia" w:ascii="仿宋" w:hAnsi="仿宋" w:eastAsia="仿宋" w:cs="仿宋"/>
          <w:color w:val="000000"/>
          <w:sz w:val="32"/>
          <w:szCs w:val="32"/>
          <w:highlight w:val="none"/>
        </w:rPr>
        <w:instrText xml:space="preserve"> HYPERLINK \l _Toc19535_WPSOffice_Level2 </w:instrText>
      </w:r>
      <w:r>
        <w:rPr>
          <w:rFonts w:hint="eastAsia" w:ascii="仿宋" w:hAnsi="仿宋" w:eastAsia="仿宋" w:cs="仿宋"/>
          <w:color w:val="000000"/>
          <w:sz w:val="32"/>
          <w:szCs w:val="32"/>
          <w:highlight w:val="none"/>
        </w:rPr>
        <w:fldChar w:fldCharType="separate"/>
      </w:r>
      <w:r>
        <w:rPr>
          <w:rFonts w:hint="eastAsia" w:ascii="仿宋" w:hAnsi="仿宋" w:eastAsia="仿宋" w:cs="仿宋"/>
          <w:bCs/>
          <w:color w:val="000000"/>
          <w:sz w:val="32"/>
          <w:szCs w:val="32"/>
          <w:highlight w:val="none"/>
        </w:rPr>
        <w:t>五、一般公共预算财政拨款支出决算情况说明</w:t>
      </w:r>
      <w:r>
        <w:rPr>
          <w:rFonts w:hint="eastAsia" w:ascii="仿宋" w:hAnsi="仿宋" w:eastAsia="仿宋" w:cs="仿宋"/>
          <w:color w:val="000000"/>
          <w:sz w:val="32"/>
          <w:szCs w:val="32"/>
          <w:highlight w:val="none"/>
        </w:rPr>
        <w:tab/>
      </w:r>
      <w:r>
        <w:rPr>
          <w:rFonts w:hint="eastAsia" w:ascii="仿宋" w:hAnsi="仿宋" w:eastAsia="仿宋" w:cs="仿宋"/>
          <w:color w:val="000000"/>
          <w:sz w:val="32"/>
          <w:szCs w:val="32"/>
          <w:highlight w:val="none"/>
          <w:lang w:val="en-US" w:eastAsia="zh-CN"/>
        </w:rPr>
        <w:t>5</w:t>
      </w:r>
      <w:r>
        <w:rPr>
          <w:rFonts w:hint="eastAsia" w:ascii="仿宋" w:hAnsi="仿宋" w:eastAsia="仿宋" w:cs="仿宋"/>
          <w:color w:val="000000"/>
          <w:sz w:val="32"/>
          <w:szCs w:val="32"/>
          <w:highlight w:val="none"/>
        </w:rPr>
        <w:fldChar w:fldCharType="end"/>
      </w:r>
    </w:p>
    <w:p>
      <w:pPr>
        <w:pStyle w:val="8"/>
        <w:keepNext w:val="0"/>
        <w:keepLines w:val="0"/>
        <w:pageBreakBefore w:val="0"/>
        <w:tabs>
          <w:tab w:val="right" w:leader="dot" w:pos="8306"/>
        </w:tabs>
        <w:kinsoku/>
        <w:wordWrap/>
        <w:overflowPunct/>
        <w:topLinePunct w:val="0"/>
        <w:autoSpaceDE/>
        <w:autoSpaceDN/>
        <w:bidi w:val="0"/>
        <w:adjustRightInd/>
        <w:snapToGrid/>
        <w:spacing w:line="560" w:lineRule="exact"/>
        <w:ind w:leftChars="0"/>
        <w:textAlignment w:val="auto"/>
        <w:rPr>
          <w:rFonts w:hint="eastAsia" w:ascii="仿宋" w:hAnsi="仿宋" w:eastAsia="仿宋" w:cs="仿宋"/>
          <w:color w:val="000000"/>
          <w:sz w:val="32"/>
          <w:szCs w:val="32"/>
          <w:highlight w:val="none"/>
          <w:lang w:eastAsia="zh-CN"/>
        </w:rPr>
      </w:pPr>
      <w:r>
        <w:rPr>
          <w:rFonts w:hint="eastAsia" w:ascii="仿宋" w:hAnsi="仿宋" w:eastAsia="仿宋" w:cs="仿宋"/>
          <w:color w:val="000000"/>
          <w:sz w:val="32"/>
          <w:szCs w:val="32"/>
          <w:highlight w:val="none"/>
        </w:rPr>
        <w:fldChar w:fldCharType="begin"/>
      </w:r>
      <w:r>
        <w:rPr>
          <w:rFonts w:hint="eastAsia" w:ascii="仿宋" w:hAnsi="仿宋" w:eastAsia="仿宋" w:cs="仿宋"/>
          <w:color w:val="000000"/>
          <w:sz w:val="32"/>
          <w:szCs w:val="32"/>
          <w:highlight w:val="none"/>
        </w:rPr>
        <w:instrText xml:space="preserve"> HYPERLINK \l _Toc19535_WPSOffice_Level2 </w:instrText>
      </w:r>
      <w:r>
        <w:rPr>
          <w:rFonts w:hint="eastAsia" w:ascii="仿宋" w:hAnsi="仿宋" w:eastAsia="仿宋" w:cs="仿宋"/>
          <w:color w:val="000000"/>
          <w:sz w:val="32"/>
          <w:szCs w:val="32"/>
          <w:highlight w:val="none"/>
        </w:rPr>
        <w:fldChar w:fldCharType="separate"/>
      </w:r>
      <w:r>
        <w:rPr>
          <w:rFonts w:hint="eastAsia" w:ascii="仿宋" w:hAnsi="仿宋" w:eastAsia="仿宋" w:cs="仿宋"/>
          <w:bCs/>
          <w:color w:val="000000"/>
          <w:sz w:val="32"/>
          <w:szCs w:val="32"/>
          <w:highlight w:val="none"/>
        </w:rPr>
        <w:t>六、一般公共预算财政拨款基本支出决算情况说明</w:t>
      </w:r>
      <w:r>
        <w:rPr>
          <w:rFonts w:hint="eastAsia" w:ascii="仿宋" w:hAnsi="仿宋" w:eastAsia="仿宋" w:cs="仿宋"/>
          <w:color w:val="000000"/>
          <w:sz w:val="32"/>
          <w:szCs w:val="32"/>
          <w:highlight w:val="none"/>
        </w:rPr>
        <w:fldChar w:fldCharType="end"/>
      </w:r>
      <w:r>
        <w:rPr>
          <w:rFonts w:hint="eastAsia" w:ascii="仿宋" w:hAnsi="仿宋" w:eastAsia="仿宋" w:cs="仿宋"/>
          <w:color w:val="000000"/>
          <w:sz w:val="32"/>
          <w:szCs w:val="32"/>
          <w:highlight w:val="none"/>
        </w:rPr>
        <w:tab/>
      </w:r>
      <w:r>
        <w:rPr>
          <w:rFonts w:hint="eastAsia" w:ascii="仿宋" w:hAnsi="仿宋" w:eastAsia="仿宋" w:cs="仿宋"/>
          <w:color w:val="000000"/>
          <w:sz w:val="32"/>
          <w:szCs w:val="32"/>
          <w:highlight w:val="none"/>
          <w:lang w:val="en-US" w:eastAsia="zh-CN"/>
        </w:rPr>
        <w:t>6</w:t>
      </w:r>
    </w:p>
    <w:p>
      <w:pPr>
        <w:pStyle w:val="8"/>
        <w:keepNext w:val="0"/>
        <w:keepLines w:val="0"/>
        <w:pageBreakBefore w:val="0"/>
        <w:numPr>
          <w:ilvl w:val="0"/>
          <w:numId w:val="1"/>
        </w:numPr>
        <w:tabs>
          <w:tab w:val="right" w:leader="dot" w:pos="8306"/>
        </w:tabs>
        <w:kinsoku/>
        <w:wordWrap/>
        <w:overflowPunct/>
        <w:topLinePunct w:val="0"/>
        <w:autoSpaceDE/>
        <w:autoSpaceDN/>
        <w:bidi w:val="0"/>
        <w:adjustRightInd/>
        <w:snapToGrid/>
        <w:spacing w:line="560" w:lineRule="exact"/>
        <w:ind w:leftChars="0"/>
        <w:textAlignment w:val="auto"/>
        <w:rPr>
          <w:rFonts w:hint="eastAsia" w:ascii="仿宋" w:hAnsi="仿宋" w:eastAsia="仿宋" w:cs="仿宋"/>
          <w:color w:val="000000"/>
          <w:sz w:val="32"/>
          <w:szCs w:val="32"/>
          <w:highlight w:val="none"/>
        </w:rPr>
      </w:pPr>
      <w:r>
        <w:rPr>
          <w:rFonts w:hint="eastAsia" w:ascii="仿宋" w:hAnsi="仿宋" w:eastAsia="仿宋" w:cs="仿宋"/>
          <w:bCs/>
          <w:color w:val="000000"/>
          <w:sz w:val="32"/>
          <w:szCs w:val="32"/>
          <w:highlight w:val="none"/>
        </w:rPr>
        <w:t>政府性基金预算财政拨款支出决算情况说明</w:t>
      </w:r>
      <w:r>
        <w:rPr>
          <w:rFonts w:hint="eastAsia" w:ascii="仿宋" w:hAnsi="仿宋" w:eastAsia="仿宋" w:cs="仿宋"/>
          <w:color w:val="000000"/>
          <w:sz w:val="32"/>
          <w:szCs w:val="32"/>
          <w:highlight w:val="none"/>
        </w:rPr>
        <w:tab/>
      </w:r>
      <w:r>
        <w:rPr>
          <w:rFonts w:hint="eastAsia" w:ascii="仿宋" w:hAnsi="仿宋" w:eastAsia="仿宋" w:cs="仿宋"/>
          <w:color w:val="000000"/>
          <w:sz w:val="32"/>
          <w:szCs w:val="32"/>
          <w:highlight w:val="none"/>
          <w:lang w:val="en-US" w:eastAsia="zh-CN"/>
        </w:rPr>
        <w:t>7</w:t>
      </w:r>
    </w:p>
    <w:p>
      <w:pPr>
        <w:pStyle w:val="8"/>
        <w:keepNext w:val="0"/>
        <w:keepLines w:val="0"/>
        <w:pageBreakBefore w:val="0"/>
        <w:numPr>
          <w:ilvl w:val="0"/>
          <w:numId w:val="1"/>
        </w:numPr>
        <w:tabs>
          <w:tab w:val="right" w:leader="dot" w:pos="8306"/>
        </w:tabs>
        <w:kinsoku/>
        <w:wordWrap/>
        <w:overflowPunct/>
        <w:topLinePunct w:val="0"/>
        <w:autoSpaceDE/>
        <w:autoSpaceDN/>
        <w:bidi w:val="0"/>
        <w:adjustRightInd/>
        <w:snapToGrid/>
        <w:spacing w:line="560" w:lineRule="exact"/>
        <w:ind w:leftChars="0"/>
        <w:textAlignment w:val="auto"/>
        <w:rPr>
          <w:rFonts w:hint="eastAsia" w:ascii="仿宋" w:hAnsi="仿宋" w:eastAsia="仿宋" w:cs="仿宋"/>
          <w:color w:val="000000"/>
          <w:sz w:val="32"/>
          <w:szCs w:val="32"/>
          <w:highlight w:val="none"/>
        </w:rPr>
      </w:pPr>
      <w:r>
        <w:rPr>
          <w:rFonts w:hint="eastAsia" w:ascii="仿宋" w:hAnsi="仿宋" w:eastAsia="仿宋" w:cs="仿宋"/>
          <w:bCs/>
          <w:color w:val="000000"/>
          <w:sz w:val="32"/>
          <w:szCs w:val="32"/>
          <w:highlight w:val="none"/>
        </w:rPr>
        <w:t>国有资本经营预算财政拨款支出决算情况说明</w:t>
      </w:r>
      <w:r>
        <w:rPr>
          <w:rFonts w:hint="eastAsia" w:ascii="仿宋" w:hAnsi="仿宋" w:eastAsia="仿宋" w:cs="仿宋"/>
          <w:color w:val="000000"/>
          <w:sz w:val="32"/>
          <w:szCs w:val="32"/>
          <w:highlight w:val="none"/>
        </w:rPr>
        <w:tab/>
      </w:r>
      <w:r>
        <w:rPr>
          <w:rFonts w:hint="eastAsia" w:ascii="仿宋" w:hAnsi="仿宋" w:eastAsia="仿宋" w:cs="仿宋"/>
          <w:color w:val="000000"/>
          <w:sz w:val="32"/>
          <w:szCs w:val="32"/>
          <w:highlight w:val="none"/>
        </w:rPr>
        <w:t>8</w:t>
      </w:r>
    </w:p>
    <w:p>
      <w:pPr>
        <w:pStyle w:val="8"/>
        <w:keepNext w:val="0"/>
        <w:keepLines w:val="0"/>
        <w:pageBreakBefore w:val="0"/>
        <w:tabs>
          <w:tab w:val="right" w:leader="dot" w:pos="8306"/>
        </w:tabs>
        <w:kinsoku/>
        <w:wordWrap/>
        <w:overflowPunct/>
        <w:topLinePunct w:val="0"/>
        <w:autoSpaceDE/>
        <w:autoSpaceDN/>
        <w:bidi w:val="0"/>
        <w:adjustRightInd/>
        <w:snapToGrid/>
        <w:spacing w:line="560" w:lineRule="exact"/>
        <w:ind w:leftChars="0"/>
        <w:textAlignment w:val="auto"/>
        <w:rPr>
          <w:rFonts w:hint="eastAsia" w:ascii="仿宋" w:hAnsi="仿宋" w:eastAsia="仿宋" w:cs="仿宋"/>
          <w:color w:val="000000"/>
          <w:sz w:val="32"/>
          <w:szCs w:val="32"/>
          <w:highlight w:val="none"/>
        </w:rPr>
      </w:pPr>
      <w:r>
        <w:rPr>
          <w:rFonts w:hint="eastAsia" w:ascii="仿宋" w:hAnsi="仿宋" w:eastAsia="仿宋" w:cs="仿宋"/>
          <w:color w:val="000000"/>
          <w:sz w:val="32"/>
          <w:szCs w:val="32"/>
          <w:highlight w:val="none"/>
        </w:rPr>
        <w:fldChar w:fldCharType="begin"/>
      </w:r>
      <w:r>
        <w:rPr>
          <w:rFonts w:hint="eastAsia" w:ascii="仿宋" w:hAnsi="仿宋" w:eastAsia="仿宋" w:cs="仿宋"/>
          <w:color w:val="000000"/>
          <w:sz w:val="32"/>
          <w:szCs w:val="32"/>
          <w:highlight w:val="none"/>
        </w:rPr>
        <w:instrText xml:space="preserve"> HYPERLINK \l _Toc19535_WPSOffice_Level2 </w:instrText>
      </w:r>
      <w:r>
        <w:rPr>
          <w:rFonts w:hint="eastAsia" w:ascii="仿宋" w:hAnsi="仿宋" w:eastAsia="仿宋" w:cs="仿宋"/>
          <w:color w:val="000000"/>
          <w:sz w:val="32"/>
          <w:szCs w:val="32"/>
          <w:highlight w:val="none"/>
        </w:rPr>
        <w:fldChar w:fldCharType="separate"/>
      </w:r>
      <w:r>
        <w:rPr>
          <w:rFonts w:hint="eastAsia" w:ascii="仿宋" w:hAnsi="仿宋" w:eastAsia="仿宋" w:cs="仿宋"/>
          <w:bCs/>
          <w:color w:val="000000"/>
          <w:sz w:val="32"/>
          <w:szCs w:val="32"/>
          <w:highlight w:val="none"/>
        </w:rPr>
        <w:t>九、财政拨款“三公”经费支出决算情况说明</w:t>
      </w:r>
      <w:r>
        <w:rPr>
          <w:rFonts w:hint="eastAsia" w:ascii="仿宋" w:hAnsi="仿宋" w:eastAsia="仿宋" w:cs="仿宋"/>
          <w:color w:val="000000"/>
          <w:sz w:val="32"/>
          <w:szCs w:val="32"/>
          <w:highlight w:val="none"/>
        </w:rPr>
        <w:tab/>
      </w:r>
      <w:r>
        <w:rPr>
          <w:rFonts w:hint="eastAsia" w:ascii="仿宋" w:hAnsi="仿宋" w:eastAsia="仿宋" w:cs="仿宋"/>
          <w:color w:val="000000"/>
          <w:sz w:val="32"/>
          <w:szCs w:val="32"/>
          <w:highlight w:val="none"/>
          <w:lang w:val="en-US" w:eastAsia="zh-CN"/>
        </w:rPr>
        <w:t>8</w:t>
      </w:r>
      <w:r>
        <w:rPr>
          <w:rFonts w:hint="eastAsia" w:ascii="仿宋" w:hAnsi="仿宋" w:eastAsia="仿宋" w:cs="仿宋"/>
          <w:color w:val="000000"/>
          <w:sz w:val="32"/>
          <w:szCs w:val="32"/>
          <w:highlight w:val="none"/>
        </w:rPr>
        <w:fldChar w:fldCharType="end"/>
      </w:r>
    </w:p>
    <w:p>
      <w:pPr>
        <w:pStyle w:val="8"/>
        <w:keepNext w:val="0"/>
        <w:keepLines w:val="0"/>
        <w:pageBreakBefore w:val="0"/>
        <w:tabs>
          <w:tab w:val="right" w:leader="dot" w:pos="8306"/>
        </w:tabs>
        <w:kinsoku/>
        <w:wordWrap/>
        <w:overflowPunct/>
        <w:topLinePunct w:val="0"/>
        <w:autoSpaceDE/>
        <w:autoSpaceDN/>
        <w:bidi w:val="0"/>
        <w:adjustRightInd/>
        <w:snapToGrid/>
        <w:spacing w:line="560" w:lineRule="exact"/>
        <w:ind w:leftChars="0"/>
        <w:textAlignment w:val="auto"/>
        <w:rPr>
          <w:rFonts w:hint="eastAsia" w:ascii="仿宋" w:hAnsi="仿宋" w:eastAsia="仿宋" w:cs="仿宋"/>
          <w:color w:val="000000"/>
          <w:sz w:val="32"/>
          <w:szCs w:val="32"/>
          <w:highlight w:val="none"/>
          <w:lang w:eastAsia="zh-CN"/>
        </w:rPr>
      </w:pPr>
      <w:r>
        <w:rPr>
          <w:rFonts w:hint="eastAsia" w:ascii="仿宋" w:hAnsi="仿宋" w:eastAsia="仿宋" w:cs="仿宋"/>
          <w:color w:val="000000"/>
          <w:sz w:val="32"/>
          <w:szCs w:val="32"/>
          <w:highlight w:val="none"/>
        </w:rPr>
        <w:fldChar w:fldCharType="begin"/>
      </w:r>
      <w:r>
        <w:rPr>
          <w:rFonts w:hint="eastAsia" w:ascii="仿宋" w:hAnsi="仿宋" w:eastAsia="仿宋" w:cs="仿宋"/>
          <w:color w:val="000000"/>
          <w:sz w:val="32"/>
          <w:szCs w:val="32"/>
          <w:highlight w:val="none"/>
        </w:rPr>
        <w:instrText xml:space="preserve"> HYPERLINK \l _Toc19535_WPSOffice_Level2 </w:instrText>
      </w:r>
      <w:r>
        <w:rPr>
          <w:rFonts w:hint="eastAsia" w:ascii="仿宋" w:hAnsi="仿宋" w:eastAsia="仿宋" w:cs="仿宋"/>
          <w:color w:val="000000"/>
          <w:sz w:val="32"/>
          <w:szCs w:val="32"/>
          <w:highlight w:val="none"/>
        </w:rPr>
        <w:fldChar w:fldCharType="separate"/>
      </w:r>
      <w:r>
        <w:rPr>
          <w:rFonts w:hint="eastAsia" w:ascii="仿宋" w:hAnsi="仿宋" w:eastAsia="仿宋" w:cs="仿宋"/>
          <w:bCs/>
          <w:color w:val="000000"/>
          <w:sz w:val="32"/>
          <w:szCs w:val="32"/>
          <w:highlight w:val="none"/>
        </w:rPr>
        <w:t>十、预算绩效情况说明</w:t>
      </w:r>
      <w:r>
        <w:rPr>
          <w:rFonts w:hint="eastAsia" w:ascii="仿宋" w:hAnsi="仿宋" w:eastAsia="仿宋" w:cs="仿宋"/>
          <w:color w:val="000000"/>
          <w:sz w:val="32"/>
          <w:szCs w:val="32"/>
          <w:highlight w:val="none"/>
        </w:rPr>
        <w:tab/>
      </w:r>
      <w:r>
        <w:rPr>
          <w:rFonts w:hint="eastAsia" w:ascii="仿宋" w:hAnsi="仿宋" w:eastAsia="仿宋" w:cs="仿宋"/>
          <w:color w:val="000000"/>
          <w:sz w:val="32"/>
          <w:szCs w:val="32"/>
          <w:highlight w:val="none"/>
        </w:rPr>
        <w:fldChar w:fldCharType="end"/>
      </w:r>
      <w:r>
        <w:rPr>
          <w:rFonts w:hint="eastAsia" w:ascii="仿宋" w:hAnsi="仿宋" w:eastAsia="仿宋" w:cs="仿宋"/>
          <w:color w:val="000000"/>
          <w:sz w:val="32"/>
          <w:szCs w:val="32"/>
          <w:highlight w:val="none"/>
          <w:lang w:val="en-US" w:eastAsia="zh-CN"/>
        </w:rPr>
        <w:t>9</w:t>
      </w:r>
    </w:p>
    <w:p>
      <w:pPr>
        <w:pStyle w:val="8"/>
        <w:keepNext w:val="0"/>
        <w:keepLines w:val="0"/>
        <w:pageBreakBefore w:val="0"/>
        <w:tabs>
          <w:tab w:val="right" w:leader="dot" w:pos="8306"/>
        </w:tabs>
        <w:kinsoku/>
        <w:wordWrap/>
        <w:overflowPunct/>
        <w:topLinePunct w:val="0"/>
        <w:autoSpaceDE/>
        <w:autoSpaceDN/>
        <w:bidi w:val="0"/>
        <w:adjustRightInd/>
        <w:snapToGrid/>
        <w:spacing w:line="560" w:lineRule="exact"/>
        <w:ind w:leftChars="0"/>
        <w:textAlignment w:val="auto"/>
        <w:rPr>
          <w:rFonts w:hint="default" w:ascii="仿宋" w:hAnsi="仿宋" w:eastAsia="仿宋" w:cs="仿宋"/>
          <w:color w:val="000000"/>
          <w:sz w:val="32"/>
          <w:szCs w:val="32"/>
          <w:highlight w:val="none"/>
          <w:lang w:val="en-US" w:eastAsia="zh-CN"/>
        </w:rPr>
      </w:pPr>
      <w:r>
        <w:rPr>
          <w:rFonts w:hint="eastAsia" w:ascii="仿宋" w:hAnsi="仿宋" w:eastAsia="仿宋" w:cs="仿宋"/>
          <w:bCs/>
          <w:color w:val="000000"/>
          <w:sz w:val="32"/>
          <w:szCs w:val="32"/>
          <w:highlight w:val="none"/>
        </w:rPr>
        <w:t>十一、其他重要事项情况说明</w:t>
      </w:r>
      <w:r>
        <w:rPr>
          <w:rFonts w:hint="eastAsia" w:ascii="仿宋" w:hAnsi="仿宋" w:eastAsia="仿宋" w:cs="仿宋"/>
          <w:color w:val="000000"/>
          <w:sz w:val="32"/>
          <w:szCs w:val="32"/>
          <w:highlight w:val="none"/>
        </w:rPr>
        <w:tab/>
      </w:r>
      <w:r>
        <w:rPr>
          <w:rFonts w:hint="eastAsia" w:ascii="仿宋" w:hAnsi="仿宋" w:eastAsia="仿宋" w:cs="仿宋"/>
          <w:color w:val="000000"/>
          <w:sz w:val="32"/>
          <w:szCs w:val="32"/>
          <w:highlight w:val="none"/>
        </w:rPr>
        <w:t>1</w:t>
      </w:r>
      <w:r>
        <w:rPr>
          <w:rFonts w:hint="eastAsia" w:ascii="仿宋" w:hAnsi="仿宋" w:eastAsia="仿宋" w:cs="仿宋"/>
          <w:color w:val="000000"/>
          <w:sz w:val="32"/>
          <w:szCs w:val="32"/>
          <w:highlight w:val="none"/>
          <w:lang w:val="en-US" w:eastAsia="zh-CN"/>
        </w:rPr>
        <w:t>1</w:t>
      </w:r>
    </w:p>
    <w:p>
      <w:pPr>
        <w:pStyle w:val="7"/>
        <w:keepNext w:val="0"/>
        <w:keepLines w:val="0"/>
        <w:pageBreakBefore w:val="0"/>
        <w:tabs>
          <w:tab w:val="right" w:leader="dot" w:pos="8306"/>
        </w:tabs>
        <w:kinsoku/>
        <w:wordWrap/>
        <w:overflowPunct/>
        <w:topLinePunct w:val="0"/>
        <w:autoSpaceDE/>
        <w:autoSpaceDN/>
        <w:bidi w:val="0"/>
        <w:adjustRightInd/>
        <w:snapToGrid/>
        <w:spacing w:line="560" w:lineRule="exact"/>
        <w:textAlignment w:val="auto"/>
        <w:rPr>
          <w:rFonts w:hint="default" w:ascii="黑体" w:hAnsi="ˎ̥" w:eastAsia="宋体"/>
          <w:b/>
          <w:color w:val="000000"/>
          <w:sz w:val="32"/>
          <w:szCs w:val="32"/>
          <w:highlight w:val="none"/>
          <w:lang w:val="en-US" w:eastAsia="zh-CN"/>
        </w:rPr>
      </w:pPr>
      <w:r>
        <w:rPr>
          <w:color w:val="000000"/>
          <w:sz w:val="32"/>
          <w:szCs w:val="32"/>
          <w:highlight w:val="none"/>
        </w:rPr>
        <w:fldChar w:fldCharType="begin"/>
      </w:r>
      <w:r>
        <w:rPr>
          <w:color w:val="000000"/>
          <w:sz w:val="32"/>
          <w:szCs w:val="32"/>
          <w:highlight w:val="none"/>
        </w:rPr>
        <w:instrText xml:space="preserve"> HYPERLINK \l _Toc15425_WPSOffice_Level1 </w:instrText>
      </w:r>
      <w:r>
        <w:rPr>
          <w:color w:val="000000"/>
          <w:sz w:val="32"/>
          <w:szCs w:val="32"/>
          <w:highlight w:val="none"/>
        </w:rPr>
        <w:fldChar w:fldCharType="separate"/>
      </w:r>
      <w:r>
        <w:rPr>
          <w:rFonts w:hint="eastAsia" w:ascii="黑体" w:hAnsi="ˎ̥" w:eastAsia="黑体"/>
          <w:color w:val="000000"/>
          <w:sz w:val="32"/>
          <w:szCs w:val="32"/>
          <w:highlight w:val="none"/>
        </w:rPr>
        <w:t>第四部分  名词解释</w:t>
      </w:r>
      <w:r>
        <w:rPr>
          <w:color w:val="000000"/>
          <w:sz w:val="32"/>
          <w:szCs w:val="32"/>
          <w:highlight w:val="none"/>
        </w:rPr>
        <w:tab/>
      </w:r>
      <w:bookmarkStart w:id="1" w:name="_Toc15425_WPSOffice_Level1Page"/>
      <w:r>
        <w:rPr>
          <w:color w:val="000000"/>
          <w:sz w:val="32"/>
          <w:szCs w:val="32"/>
          <w:highlight w:val="none"/>
        </w:rPr>
        <w:t>1</w:t>
      </w:r>
      <w:bookmarkEnd w:id="1"/>
      <w:r>
        <w:rPr>
          <w:color w:val="000000"/>
          <w:sz w:val="32"/>
          <w:szCs w:val="32"/>
          <w:highlight w:val="none"/>
        </w:rPr>
        <w:fldChar w:fldCharType="end"/>
      </w:r>
      <w:bookmarkEnd w:id="0"/>
      <w:r>
        <w:rPr>
          <w:rFonts w:hint="eastAsia"/>
          <w:color w:val="000000"/>
          <w:sz w:val="32"/>
          <w:szCs w:val="32"/>
          <w:highlight w:val="none"/>
          <w:lang w:val="en-US" w:eastAsia="zh-CN"/>
        </w:rPr>
        <w:t>2</w:t>
      </w:r>
      <w:bookmarkStart w:id="119" w:name="_GoBack"/>
      <w:bookmarkEnd w:id="119"/>
    </w:p>
    <w:p>
      <w:pPr>
        <w:jc w:val="center"/>
        <w:rPr>
          <w:rFonts w:hint="eastAsia" w:ascii="黑体" w:hAnsi="ˎ̥" w:eastAsia="黑体"/>
          <w:color w:val="000000"/>
          <w:sz w:val="32"/>
          <w:szCs w:val="32"/>
          <w:highlight w:val="none"/>
        </w:rPr>
      </w:pPr>
      <w:bookmarkStart w:id="2" w:name="_Toc10720_WPSOffice_Level1"/>
      <w:bookmarkStart w:id="3" w:name="_Toc32433_WPSOffice_Level1"/>
      <w:bookmarkStart w:id="4" w:name="_Toc1704_WPSOffice_Level1"/>
      <w:bookmarkStart w:id="5" w:name="_Toc22941_WPSOffice_Level1"/>
      <w:bookmarkStart w:id="6" w:name="_Toc10049_WPSOffice_Level1"/>
      <w:bookmarkStart w:id="7" w:name="_Toc23465_WPSOffice_Level1"/>
      <w:bookmarkStart w:id="8" w:name="_Toc24238_WPSOffice_Level2"/>
      <w:bookmarkStart w:id="9" w:name="_Toc20205_WPSOffice_Level2"/>
      <w:bookmarkStart w:id="10" w:name="_Toc32622_WPSOffice_Level2"/>
      <w:bookmarkStart w:id="11" w:name="_Toc20274_WPSOffice_Level2"/>
      <w:bookmarkStart w:id="12" w:name="_Toc14159_WPSOffice_Level2"/>
      <w:bookmarkStart w:id="13" w:name="_Toc26580_WPSOffice_Level2"/>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黑体" w:hAnsi="ˎ̥" w:eastAsia="黑体"/>
          <w:color w:val="000000"/>
          <w:sz w:val="32"/>
          <w:szCs w:val="32"/>
          <w:highlight w:val="none"/>
        </w:rPr>
      </w:pPr>
      <w:r>
        <w:rPr>
          <w:rFonts w:hint="eastAsia" w:ascii="黑体" w:hAnsi="ˎ̥" w:eastAsia="黑体"/>
          <w:color w:val="000000"/>
          <w:sz w:val="32"/>
          <w:szCs w:val="32"/>
          <w:highlight w:val="none"/>
        </w:rPr>
        <w:br w:type="page"/>
      </w:r>
      <w:r>
        <w:rPr>
          <w:rFonts w:hint="eastAsia" w:ascii="黑体" w:hAnsi="ˎ̥" w:eastAsia="黑体"/>
          <w:color w:val="000000"/>
          <w:sz w:val="32"/>
          <w:szCs w:val="32"/>
          <w:highlight w:val="none"/>
        </w:rPr>
        <w:t xml:space="preserve">第一部分  </w:t>
      </w:r>
      <w:bookmarkEnd w:id="2"/>
      <w:bookmarkEnd w:id="3"/>
      <w:bookmarkEnd w:id="4"/>
      <w:bookmarkEnd w:id="5"/>
      <w:bookmarkEnd w:id="6"/>
      <w:bookmarkEnd w:id="7"/>
      <w:r>
        <w:rPr>
          <w:rFonts w:hint="eastAsia" w:ascii="黑体" w:hAnsi="ˎ̥" w:eastAsia="黑体"/>
          <w:color w:val="000000"/>
          <w:sz w:val="32"/>
          <w:szCs w:val="32"/>
          <w:highlight w:val="none"/>
        </w:rPr>
        <w:t>基本情况</w:t>
      </w:r>
    </w:p>
    <w:bookmarkEnd w:id="8"/>
    <w:bookmarkEnd w:id="9"/>
    <w:bookmarkEnd w:id="10"/>
    <w:bookmarkEnd w:id="11"/>
    <w:bookmarkEnd w:id="12"/>
    <w:bookmarkEnd w:id="13"/>
    <w:p>
      <w:pPr>
        <w:ind w:firstLine="640"/>
        <w:rPr>
          <w:rFonts w:cs="黑体" w:asciiTheme="minorEastAsia" w:hAnsiTheme="minorEastAsia" w:eastAsiaTheme="minorEastAsia"/>
          <w:b/>
          <w:bCs/>
          <w:sz w:val="32"/>
          <w:szCs w:val="32"/>
        </w:rPr>
      </w:pPr>
      <w:bookmarkStart w:id="14" w:name="_Toc6234_WPSOffice_Level1"/>
      <w:bookmarkStart w:id="15" w:name="_Toc28253_WPSOffice_Level1"/>
      <w:bookmarkStart w:id="16" w:name="_Toc30690_WPSOffice_Level1"/>
      <w:bookmarkStart w:id="17" w:name="_Toc30451_WPSOffice_Level1"/>
      <w:bookmarkStart w:id="18" w:name="_Toc8164_WPSOffice_Level1"/>
      <w:bookmarkStart w:id="19" w:name="_Toc15521_WPSOffice_Level1"/>
      <w:bookmarkStart w:id="20" w:name="_Toc8867_WPSOffice_Level2"/>
      <w:bookmarkStart w:id="21" w:name="_Toc11518_WPSOffice_Level2"/>
      <w:bookmarkStart w:id="22" w:name="_Toc6211_WPSOffice_Level2"/>
      <w:bookmarkStart w:id="23" w:name="_Toc32695_WPSOffice_Level2"/>
      <w:bookmarkStart w:id="24" w:name="_Toc4029_WPSOffice_Level2"/>
      <w:bookmarkStart w:id="25" w:name="_Toc32472_WPSOffice_Level2"/>
      <w:r>
        <w:rPr>
          <w:rFonts w:hint="eastAsia" w:cs="黑体" w:asciiTheme="minorEastAsia" w:hAnsiTheme="minorEastAsia" w:eastAsiaTheme="minorEastAsia"/>
          <w:b/>
          <w:bCs/>
          <w:sz w:val="32"/>
          <w:szCs w:val="32"/>
        </w:rPr>
        <w:t>一、部门（单位）职责</w:t>
      </w:r>
    </w:p>
    <w:p>
      <w:pPr>
        <w:ind w:firstLine="640"/>
        <w:rPr>
          <w:rFonts w:asciiTheme="minorEastAsia" w:hAnsiTheme="minorEastAsia" w:eastAsiaTheme="minorEastAsia"/>
          <w:sz w:val="32"/>
          <w:szCs w:val="32"/>
        </w:rPr>
      </w:pPr>
      <w:r>
        <w:rPr>
          <w:rFonts w:hint="eastAsia" w:asciiTheme="minorEastAsia" w:hAnsiTheme="minorEastAsia" w:eastAsiaTheme="minorEastAsia"/>
          <w:sz w:val="32"/>
          <w:szCs w:val="32"/>
        </w:rPr>
        <w:t>从事综合性医疗、急救、疾病预防、保健、康复等医疗卫生工作；承担我省在国家南海海域医疗救援保障基地职责；开展临床医学科研工作；承担省内医学卫生院校临床教学和市县医疗卫生单位卫生技术人员进修培训工作；承办上级主管部门交办的其他工作。</w:t>
      </w:r>
    </w:p>
    <w:p>
      <w:pPr>
        <w:ind w:firstLine="643" w:firstLineChars="200"/>
        <w:rPr>
          <w:rFonts w:cs="黑体" w:asciiTheme="minorEastAsia" w:hAnsiTheme="minorEastAsia" w:eastAsiaTheme="minorEastAsia"/>
          <w:b/>
          <w:bCs/>
          <w:sz w:val="32"/>
          <w:szCs w:val="32"/>
        </w:rPr>
      </w:pPr>
      <w:bookmarkStart w:id="26" w:name="_Toc24474_WPSOffice_Level2"/>
      <w:bookmarkStart w:id="27" w:name="_Toc4833_WPSOffice_Level2"/>
      <w:bookmarkStart w:id="28" w:name="_Toc17796_WPSOffice_Level2"/>
      <w:bookmarkStart w:id="29" w:name="_Toc24059_WPSOffice_Level2"/>
      <w:bookmarkStart w:id="30" w:name="_Toc6572_WPSOffice_Level2"/>
      <w:r>
        <w:rPr>
          <w:rFonts w:hint="eastAsia" w:cs="黑体" w:asciiTheme="minorEastAsia" w:hAnsiTheme="minorEastAsia" w:eastAsiaTheme="minorEastAsia"/>
          <w:b/>
          <w:bCs/>
          <w:sz w:val="32"/>
          <w:szCs w:val="32"/>
        </w:rPr>
        <w:t>二、机构设置</w:t>
      </w:r>
      <w:bookmarkEnd w:id="26"/>
      <w:bookmarkEnd w:id="27"/>
      <w:bookmarkEnd w:id="28"/>
      <w:bookmarkEnd w:id="29"/>
      <w:bookmarkEnd w:id="30"/>
    </w:p>
    <w:p>
      <w:pPr>
        <w:ind w:firstLine="640" w:firstLineChars="200"/>
        <w:rPr>
          <w:rFonts w:hint="eastAsia" w:ascii="黑体" w:hAnsi="ˎ̥" w:eastAsia="黑体"/>
          <w:color w:val="000000"/>
          <w:sz w:val="32"/>
          <w:szCs w:val="32"/>
          <w:highlight w:val="none"/>
        </w:rPr>
      </w:pPr>
      <w:r>
        <w:rPr>
          <w:rFonts w:hint="eastAsia" w:asciiTheme="minorEastAsia" w:hAnsiTheme="minorEastAsia" w:eastAsiaTheme="minorEastAsia"/>
          <w:sz w:val="32"/>
          <w:szCs w:val="32"/>
        </w:rPr>
        <w:t>内设14个科级党政管理机构，医疗科室根据服务功能设置。1、医院办公室2、党委办公室3、组织人事科4、医务部5、科教部6、护理部7、财务部8、医学装备部9、总务后勤部10、医疗保险中心11、信息中心12、质量管理部13、安全保卫部14、工会</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黑体" w:hAnsi="ˎ̥" w:eastAsia="黑体"/>
          <w:color w:val="000000"/>
          <w:sz w:val="32"/>
          <w:szCs w:val="32"/>
          <w:highlight w:val="none"/>
        </w:rPr>
      </w:pPr>
      <w:r>
        <w:rPr>
          <w:rFonts w:hint="eastAsia" w:ascii="黑体" w:hAnsi="ˎ̥" w:eastAsia="黑体"/>
          <w:color w:val="000000"/>
          <w:sz w:val="32"/>
          <w:szCs w:val="32"/>
          <w:highlight w:val="none"/>
        </w:rPr>
        <w:t>第二部分  2022年度部门决算公开报表</w:t>
      </w:r>
      <w:bookmarkEnd w:id="14"/>
      <w:bookmarkEnd w:id="15"/>
      <w:bookmarkEnd w:id="16"/>
      <w:bookmarkEnd w:id="17"/>
      <w:bookmarkEnd w:id="18"/>
      <w:bookmarkEnd w:id="19"/>
    </w:p>
    <w:p>
      <w:pPr>
        <w:keepNext w:val="0"/>
        <w:keepLines w:val="0"/>
        <w:pageBreakBefore w:val="0"/>
        <w:kinsoku/>
        <w:wordWrap/>
        <w:overflowPunct/>
        <w:topLinePunct w:val="0"/>
        <w:autoSpaceDE/>
        <w:autoSpaceDN/>
        <w:bidi w:val="0"/>
        <w:adjustRightInd/>
        <w:snapToGrid/>
        <w:spacing w:line="560" w:lineRule="exact"/>
        <w:ind w:firstLine="645"/>
        <w:textAlignment w:val="auto"/>
        <w:rPr>
          <w:rFonts w:hint="eastAsia" w:ascii="黑体" w:hAnsi="黑体" w:eastAsia="黑体" w:cs="黑体"/>
          <w:color w:val="000000"/>
          <w:sz w:val="32"/>
          <w:szCs w:val="32"/>
          <w:highlight w:val="none"/>
        </w:rPr>
      </w:pPr>
    </w:p>
    <w:p>
      <w:pPr>
        <w:keepNext w:val="0"/>
        <w:keepLines w:val="0"/>
        <w:pageBreakBefore w:val="0"/>
        <w:kinsoku/>
        <w:wordWrap/>
        <w:overflowPunct/>
        <w:topLinePunct w:val="0"/>
        <w:autoSpaceDE/>
        <w:autoSpaceDN/>
        <w:bidi w:val="0"/>
        <w:adjustRightInd/>
        <w:snapToGrid/>
        <w:spacing w:line="560" w:lineRule="exact"/>
        <w:ind w:firstLine="645"/>
        <w:textAlignment w:val="auto"/>
        <w:rPr>
          <w:rFonts w:hint="eastAsia" w:ascii="黑体" w:hAnsi="黑体" w:eastAsia="黑体" w:cs="黑体"/>
          <w:color w:val="000000"/>
          <w:sz w:val="32"/>
          <w:szCs w:val="32"/>
          <w:highlight w:val="none"/>
        </w:rPr>
      </w:pPr>
      <w:r>
        <w:rPr>
          <w:rFonts w:hint="eastAsia" w:ascii="黑体" w:hAnsi="黑体" w:eastAsia="黑体" w:cs="黑体"/>
          <w:color w:val="000000"/>
          <w:sz w:val="32"/>
          <w:szCs w:val="32"/>
          <w:highlight w:val="none"/>
        </w:rPr>
        <w:t>一、收入支出决算公开表</w:t>
      </w:r>
      <w:bookmarkEnd w:id="20"/>
      <w:bookmarkEnd w:id="21"/>
      <w:bookmarkEnd w:id="22"/>
      <w:bookmarkEnd w:id="23"/>
      <w:bookmarkEnd w:id="24"/>
      <w:bookmarkEnd w:id="25"/>
    </w:p>
    <w:p>
      <w:pPr>
        <w:keepNext w:val="0"/>
        <w:keepLines w:val="0"/>
        <w:pageBreakBefore w:val="0"/>
        <w:kinsoku/>
        <w:wordWrap/>
        <w:overflowPunct/>
        <w:topLinePunct w:val="0"/>
        <w:autoSpaceDE/>
        <w:autoSpaceDN/>
        <w:bidi w:val="0"/>
        <w:adjustRightInd/>
        <w:snapToGrid/>
        <w:spacing w:line="560" w:lineRule="exact"/>
        <w:ind w:firstLine="645"/>
        <w:textAlignment w:val="auto"/>
        <w:rPr>
          <w:rFonts w:hint="eastAsia" w:ascii="黑体" w:hAnsi="黑体" w:eastAsia="黑体" w:cs="黑体"/>
          <w:color w:val="000000"/>
          <w:sz w:val="32"/>
          <w:szCs w:val="32"/>
          <w:highlight w:val="none"/>
        </w:rPr>
      </w:pPr>
      <w:bookmarkStart w:id="31" w:name="_Toc30334_WPSOffice_Level2"/>
      <w:bookmarkStart w:id="32" w:name="_Toc23139_WPSOffice_Level2"/>
      <w:bookmarkStart w:id="33" w:name="_Toc25608_WPSOffice_Level2"/>
      <w:bookmarkStart w:id="34" w:name="_Toc14349_WPSOffice_Level2"/>
      <w:bookmarkStart w:id="35" w:name="_Toc28622_WPSOffice_Level2"/>
      <w:bookmarkStart w:id="36" w:name="_Toc26621_WPSOffice_Level2"/>
      <w:r>
        <w:rPr>
          <w:rFonts w:hint="eastAsia" w:ascii="黑体" w:hAnsi="黑体" w:eastAsia="黑体" w:cs="黑体"/>
          <w:color w:val="000000"/>
          <w:sz w:val="32"/>
          <w:szCs w:val="32"/>
          <w:highlight w:val="none"/>
        </w:rPr>
        <w:t>二、收入决算公开表</w:t>
      </w:r>
      <w:bookmarkEnd w:id="31"/>
      <w:bookmarkEnd w:id="32"/>
      <w:bookmarkEnd w:id="33"/>
      <w:bookmarkEnd w:id="34"/>
      <w:bookmarkEnd w:id="35"/>
      <w:bookmarkEnd w:id="36"/>
      <w:bookmarkStart w:id="37" w:name="_Toc14658_WPSOffice_Level2"/>
      <w:bookmarkStart w:id="38" w:name="_Toc13854_WPSOffice_Level2"/>
      <w:bookmarkStart w:id="39" w:name="_Toc3262_WPSOffice_Level2"/>
      <w:bookmarkStart w:id="40" w:name="_Toc17626_WPSOffice_Level2"/>
      <w:bookmarkStart w:id="41" w:name="_Toc5489_WPSOffice_Level2"/>
      <w:bookmarkStart w:id="42" w:name="_Toc17858_WPSOffice_Level2"/>
    </w:p>
    <w:p>
      <w:pPr>
        <w:keepNext w:val="0"/>
        <w:keepLines w:val="0"/>
        <w:pageBreakBefore w:val="0"/>
        <w:kinsoku/>
        <w:wordWrap/>
        <w:overflowPunct/>
        <w:topLinePunct w:val="0"/>
        <w:autoSpaceDE/>
        <w:autoSpaceDN/>
        <w:bidi w:val="0"/>
        <w:adjustRightInd/>
        <w:snapToGrid/>
        <w:spacing w:line="560" w:lineRule="exact"/>
        <w:ind w:firstLine="645"/>
        <w:textAlignment w:val="auto"/>
        <w:rPr>
          <w:rFonts w:hint="eastAsia" w:ascii="黑体" w:hAnsi="黑体" w:eastAsia="黑体" w:cs="黑体"/>
          <w:color w:val="000000"/>
          <w:sz w:val="32"/>
          <w:szCs w:val="32"/>
          <w:highlight w:val="none"/>
        </w:rPr>
      </w:pPr>
      <w:r>
        <w:rPr>
          <w:rFonts w:hint="eastAsia" w:ascii="黑体" w:hAnsi="黑体" w:eastAsia="黑体" w:cs="黑体"/>
          <w:color w:val="000000"/>
          <w:sz w:val="32"/>
          <w:szCs w:val="32"/>
          <w:highlight w:val="none"/>
        </w:rPr>
        <w:t>三、支出决算公开表</w:t>
      </w:r>
      <w:bookmarkEnd w:id="37"/>
      <w:bookmarkEnd w:id="38"/>
      <w:bookmarkEnd w:id="39"/>
      <w:bookmarkEnd w:id="40"/>
      <w:bookmarkEnd w:id="41"/>
      <w:bookmarkEnd w:id="42"/>
      <w:bookmarkStart w:id="43" w:name="_Toc23493_WPSOffice_Level2"/>
      <w:bookmarkStart w:id="44" w:name="_Toc7988_WPSOffice_Level2"/>
      <w:bookmarkStart w:id="45" w:name="_Toc13701_WPSOffice_Level2"/>
      <w:bookmarkStart w:id="46" w:name="_Toc21415_WPSOffice_Level2"/>
      <w:bookmarkStart w:id="47" w:name="_Toc23591_WPSOffice_Level2"/>
      <w:bookmarkStart w:id="48" w:name="_Toc4265_WPSOffice_Level2"/>
    </w:p>
    <w:p>
      <w:pPr>
        <w:keepNext w:val="0"/>
        <w:keepLines w:val="0"/>
        <w:pageBreakBefore w:val="0"/>
        <w:kinsoku/>
        <w:wordWrap/>
        <w:overflowPunct/>
        <w:topLinePunct w:val="0"/>
        <w:autoSpaceDE/>
        <w:autoSpaceDN/>
        <w:bidi w:val="0"/>
        <w:adjustRightInd/>
        <w:snapToGrid/>
        <w:spacing w:line="560" w:lineRule="exact"/>
        <w:ind w:firstLine="645"/>
        <w:textAlignment w:val="auto"/>
        <w:rPr>
          <w:rFonts w:hint="eastAsia" w:ascii="黑体" w:hAnsi="黑体" w:eastAsia="黑体" w:cs="黑体"/>
          <w:color w:val="000000"/>
          <w:sz w:val="32"/>
          <w:szCs w:val="32"/>
          <w:highlight w:val="none"/>
        </w:rPr>
      </w:pPr>
      <w:r>
        <w:rPr>
          <w:rFonts w:hint="eastAsia" w:ascii="黑体" w:hAnsi="黑体" w:eastAsia="黑体" w:cs="黑体"/>
          <w:color w:val="000000"/>
          <w:sz w:val="32"/>
          <w:szCs w:val="32"/>
          <w:highlight w:val="none"/>
        </w:rPr>
        <w:t>四、财政拨款收入支出决算公开表</w:t>
      </w:r>
      <w:bookmarkEnd w:id="43"/>
      <w:bookmarkEnd w:id="44"/>
      <w:bookmarkEnd w:id="45"/>
      <w:bookmarkEnd w:id="46"/>
      <w:bookmarkEnd w:id="47"/>
      <w:bookmarkEnd w:id="48"/>
    </w:p>
    <w:p>
      <w:pPr>
        <w:keepNext w:val="0"/>
        <w:keepLines w:val="0"/>
        <w:pageBreakBefore w:val="0"/>
        <w:kinsoku/>
        <w:wordWrap/>
        <w:overflowPunct/>
        <w:topLinePunct w:val="0"/>
        <w:autoSpaceDE/>
        <w:autoSpaceDN/>
        <w:bidi w:val="0"/>
        <w:adjustRightInd/>
        <w:snapToGrid/>
        <w:spacing w:line="560" w:lineRule="exact"/>
        <w:ind w:firstLine="645"/>
        <w:textAlignment w:val="auto"/>
        <w:rPr>
          <w:rFonts w:hint="eastAsia" w:ascii="黑体" w:hAnsi="黑体" w:eastAsia="黑体" w:cs="黑体"/>
          <w:color w:val="000000"/>
          <w:sz w:val="32"/>
          <w:szCs w:val="32"/>
          <w:highlight w:val="none"/>
        </w:rPr>
      </w:pPr>
      <w:bookmarkStart w:id="49" w:name="_Toc23829_WPSOffice_Level2"/>
      <w:bookmarkStart w:id="50" w:name="_Toc7879_WPSOffice_Level2"/>
      <w:bookmarkStart w:id="51" w:name="_Toc25166_WPSOffice_Level2"/>
      <w:bookmarkStart w:id="52" w:name="_Toc22783_WPSOffice_Level2"/>
      <w:bookmarkStart w:id="53" w:name="_Toc2158_WPSOffice_Level2"/>
      <w:bookmarkStart w:id="54" w:name="_Toc13516_WPSOffice_Level2"/>
      <w:r>
        <w:rPr>
          <w:rFonts w:hint="eastAsia" w:ascii="黑体" w:hAnsi="黑体" w:eastAsia="黑体" w:cs="黑体"/>
          <w:color w:val="000000"/>
          <w:sz w:val="32"/>
          <w:szCs w:val="32"/>
          <w:highlight w:val="none"/>
        </w:rPr>
        <w:t>五、一般公共预算财政拨款收入支出决算</w:t>
      </w:r>
      <w:bookmarkEnd w:id="49"/>
      <w:bookmarkEnd w:id="50"/>
      <w:bookmarkEnd w:id="51"/>
      <w:bookmarkEnd w:id="52"/>
      <w:r>
        <w:rPr>
          <w:rFonts w:hint="eastAsia" w:ascii="黑体" w:hAnsi="黑体" w:eastAsia="黑体" w:cs="黑体"/>
          <w:color w:val="000000"/>
          <w:sz w:val="32"/>
          <w:szCs w:val="32"/>
          <w:highlight w:val="none"/>
        </w:rPr>
        <w:t>公开表</w:t>
      </w:r>
      <w:bookmarkEnd w:id="53"/>
      <w:bookmarkEnd w:id="54"/>
      <w:bookmarkStart w:id="55" w:name="_Toc5343_WPSOffice_Level2"/>
      <w:bookmarkStart w:id="56" w:name="_Toc2632_WPSOffice_Level2"/>
      <w:bookmarkStart w:id="57" w:name="_Toc17833_WPSOffice_Level2"/>
      <w:bookmarkStart w:id="58" w:name="_Toc8373_WPSOffice_Level2"/>
      <w:bookmarkStart w:id="59" w:name="_Toc17283_WPSOffice_Level2"/>
      <w:bookmarkStart w:id="60" w:name="_Toc25362_WPSOffice_Level2"/>
    </w:p>
    <w:p>
      <w:pPr>
        <w:keepNext w:val="0"/>
        <w:keepLines w:val="0"/>
        <w:pageBreakBefore w:val="0"/>
        <w:kinsoku/>
        <w:wordWrap/>
        <w:overflowPunct/>
        <w:topLinePunct w:val="0"/>
        <w:autoSpaceDE/>
        <w:autoSpaceDN/>
        <w:bidi w:val="0"/>
        <w:adjustRightInd/>
        <w:snapToGrid/>
        <w:spacing w:line="560" w:lineRule="exact"/>
        <w:ind w:firstLine="645"/>
        <w:textAlignment w:val="auto"/>
        <w:rPr>
          <w:rFonts w:hint="eastAsia" w:ascii="黑体" w:hAnsi="黑体" w:eastAsia="黑体" w:cs="黑体"/>
          <w:color w:val="000000"/>
          <w:sz w:val="32"/>
          <w:szCs w:val="32"/>
          <w:highlight w:val="none"/>
        </w:rPr>
      </w:pPr>
      <w:r>
        <w:rPr>
          <w:rFonts w:hint="eastAsia" w:ascii="黑体" w:hAnsi="黑体" w:eastAsia="黑体" w:cs="黑体"/>
          <w:color w:val="000000"/>
          <w:sz w:val="32"/>
          <w:szCs w:val="32"/>
          <w:highlight w:val="none"/>
        </w:rPr>
        <w:t>六、一般公共预算财政拨款基本支出决算</w:t>
      </w:r>
      <w:bookmarkEnd w:id="55"/>
      <w:bookmarkEnd w:id="56"/>
      <w:bookmarkEnd w:id="57"/>
      <w:bookmarkEnd w:id="58"/>
      <w:bookmarkEnd w:id="59"/>
      <w:bookmarkEnd w:id="60"/>
      <w:r>
        <w:rPr>
          <w:rFonts w:hint="eastAsia" w:ascii="黑体" w:hAnsi="黑体" w:eastAsia="黑体" w:cs="黑体"/>
          <w:color w:val="000000"/>
          <w:sz w:val="32"/>
          <w:szCs w:val="32"/>
          <w:highlight w:val="none"/>
        </w:rPr>
        <w:t>公开表</w:t>
      </w:r>
    </w:p>
    <w:p>
      <w:pPr>
        <w:keepNext w:val="0"/>
        <w:keepLines w:val="0"/>
        <w:pageBreakBefore w:val="0"/>
        <w:kinsoku/>
        <w:wordWrap/>
        <w:overflowPunct/>
        <w:topLinePunct w:val="0"/>
        <w:autoSpaceDE/>
        <w:autoSpaceDN/>
        <w:bidi w:val="0"/>
        <w:adjustRightInd/>
        <w:snapToGrid/>
        <w:spacing w:line="560" w:lineRule="exact"/>
        <w:ind w:left="1118" w:leftChars="304" w:hanging="480" w:hangingChars="150"/>
        <w:textAlignment w:val="auto"/>
        <w:rPr>
          <w:rFonts w:hint="eastAsia" w:ascii="黑体" w:hAnsi="黑体" w:eastAsia="黑体" w:cs="黑体"/>
          <w:color w:val="000000"/>
          <w:sz w:val="32"/>
          <w:szCs w:val="32"/>
          <w:highlight w:val="none"/>
        </w:rPr>
      </w:pPr>
      <w:bookmarkStart w:id="61" w:name="_Toc21310_WPSOffice_Level2"/>
      <w:bookmarkStart w:id="62" w:name="_Toc1533_WPSOffice_Level2"/>
      <w:bookmarkStart w:id="63" w:name="_Toc11799_WPSOffice_Level2"/>
      <w:bookmarkStart w:id="64" w:name="_Toc13345_WPSOffice_Level2"/>
      <w:bookmarkStart w:id="65" w:name="_Toc5594_WPSOffice_Level2"/>
      <w:bookmarkStart w:id="66" w:name="_Toc6020_WPSOffice_Level2"/>
      <w:r>
        <w:rPr>
          <w:rFonts w:hint="eastAsia" w:ascii="黑体" w:hAnsi="黑体" w:eastAsia="黑体" w:cs="黑体"/>
          <w:color w:val="000000"/>
          <w:sz w:val="32"/>
          <w:szCs w:val="32"/>
          <w:highlight w:val="none"/>
        </w:rPr>
        <w:t>七、政府性基金预算财政拨款收入支出决算</w:t>
      </w:r>
      <w:bookmarkEnd w:id="61"/>
      <w:bookmarkEnd w:id="62"/>
      <w:bookmarkEnd w:id="63"/>
      <w:bookmarkEnd w:id="64"/>
      <w:bookmarkEnd w:id="65"/>
      <w:bookmarkEnd w:id="66"/>
      <w:r>
        <w:rPr>
          <w:rFonts w:hint="eastAsia" w:ascii="黑体" w:hAnsi="黑体" w:eastAsia="黑体" w:cs="黑体"/>
          <w:color w:val="000000"/>
          <w:sz w:val="32"/>
          <w:szCs w:val="32"/>
          <w:highlight w:val="none"/>
        </w:rPr>
        <w:t>公开表</w:t>
      </w:r>
    </w:p>
    <w:p>
      <w:pPr>
        <w:keepNext w:val="0"/>
        <w:keepLines w:val="0"/>
        <w:pageBreakBefore w:val="0"/>
        <w:kinsoku/>
        <w:wordWrap/>
        <w:overflowPunct/>
        <w:topLinePunct w:val="0"/>
        <w:autoSpaceDE/>
        <w:autoSpaceDN/>
        <w:bidi w:val="0"/>
        <w:adjustRightInd/>
        <w:snapToGrid/>
        <w:spacing w:line="560" w:lineRule="exact"/>
        <w:ind w:left="1118" w:leftChars="304" w:hanging="480" w:hangingChars="150"/>
        <w:textAlignment w:val="auto"/>
        <w:rPr>
          <w:rFonts w:hint="eastAsia" w:ascii="黑体" w:hAnsi="黑体" w:eastAsia="黑体" w:cs="黑体"/>
          <w:color w:val="000000"/>
          <w:sz w:val="32"/>
          <w:szCs w:val="32"/>
          <w:highlight w:val="none"/>
        </w:rPr>
      </w:pPr>
      <w:r>
        <w:rPr>
          <w:rFonts w:hint="eastAsia" w:ascii="黑体" w:hAnsi="黑体" w:eastAsia="黑体" w:cs="黑体"/>
          <w:color w:val="000000"/>
          <w:sz w:val="32"/>
          <w:szCs w:val="32"/>
          <w:highlight w:val="none"/>
        </w:rPr>
        <w:t>八、国有资本经营预算财政拨款收入支出决算公开表</w:t>
      </w:r>
    </w:p>
    <w:p>
      <w:pPr>
        <w:keepNext w:val="0"/>
        <w:keepLines w:val="0"/>
        <w:pageBreakBefore w:val="0"/>
        <w:kinsoku/>
        <w:wordWrap/>
        <w:overflowPunct/>
        <w:topLinePunct w:val="0"/>
        <w:autoSpaceDE/>
        <w:autoSpaceDN/>
        <w:bidi w:val="0"/>
        <w:adjustRightInd/>
        <w:snapToGrid/>
        <w:spacing w:line="560" w:lineRule="exact"/>
        <w:ind w:firstLine="640"/>
        <w:textAlignment w:val="auto"/>
        <w:rPr>
          <w:rFonts w:hint="eastAsia" w:ascii="黑体" w:hAnsi="黑体" w:eastAsia="黑体" w:cs="黑体"/>
          <w:color w:val="000000"/>
          <w:sz w:val="32"/>
          <w:szCs w:val="32"/>
          <w:highlight w:val="none"/>
        </w:rPr>
      </w:pPr>
      <w:bookmarkStart w:id="67" w:name="_Toc9377_WPSOffice_Level2"/>
      <w:bookmarkStart w:id="68" w:name="_Toc1820_WPSOffice_Level2"/>
      <w:bookmarkStart w:id="69" w:name="_Toc19961_WPSOffice_Level2"/>
      <w:bookmarkStart w:id="70" w:name="_Toc29886_WPSOffice_Level2"/>
      <w:r>
        <w:rPr>
          <w:rFonts w:hint="eastAsia" w:ascii="黑体" w:hAnsi="黑体" w:eastAsia="黑体" w:cs="黑体"/>
          <w:color w:val="000000"/>
          <w:sz w:val="32"/>
          <w:szCs w:val="32"/>
          <w:highlight w:val="none"/>
        </w:rPr>
        <w:t>九、财政拨款“三公”经费支出决算</w:t>
      </w:r>
      <w:bookmarkEnd w:id="67"/>
      <w:bookmarkEnd w:id="68"/>
      <w:bookmarkEnd w:id="69"/>
      <w:bookmarkEnd w:id="70"/>
      <w:r>
        <w:rPr>
          <w:rFonts w:hint="eastAsia" w:ascii="黑体" w:hAnsi="黑体" w:eastAsia="黑体" w:cs="黑体"/>
          <w:color w:val="000000"/>
          <w:sz w:val="32"/>
          <w:szCs w:val="32"/>
          <w:highlight w:val="none"/>
        </w:rPr>
        <w:t>公开表</w:t>
      </w:r>
    </w:p>
    <w:p>
      <w:pPr>
        <w:keepNext w:val="0"/>
        <w:keepLines w:val="0"/>
        <w:pageBreakBefore w:val="0"/>
        <w:kinsoku/>
        <w:wordWrap/>
        <w:overflowPunct/>
        <w:topLinePunct w:val="0"/>
        <w:autoSpaceDE/>
        <w:autoSpaceDN/>
        <w:bidi w:val="0"/>
        <w:adjustRightInd/>
        <w:snapToGrid/>
        <w:spacing w:line="560" w:lineRule="exact"/>
        <w:ind w:firstLine="640"/>
        <w:textAlignment w:val="auto"/>
        <w:rPr>
          <w:rFonts w:hint="eastAsia" w:ascii="黑体" w:hAnsi="黑体" w:eastAsia="黑体" w:cs="黑体"/>
          <w:color w:val="000000"/>
          <w:sz w:val="32"/>
          <w:szCs w:val="32"/>
          <w:highlight w:val="none"/>
        </w:rPr>
      </w:pPr>
      <w:r>
        <w:rPr>
          <w:rFonts w:hint="eastAsia" w:ascii="黑体" w:hAnsi="黑体" w:eastAsia="黑体" w:cs="黑体"/>
          <w:color w:val="000000"/>
          <w:w w:val="96"/>
          <w:sz w:val="32"/>
          <w:szCs w:val="32"/>
          <w:highlight w:val="none"/>
        </w:rPr>
        <w:t>以上报表见附件</w:t>
      </w:r>
      <w:r>
        <w:rPr>
          <w:rFonts w:hint="eastAsia" w:ascii="黑体" w:hAnsi="黑体" w:eastAsia="黑体" w:cs="黑体"/>
          <w:color w:val="000000"/>
          <w:w w:val="96"/>
          <w:sz w:val="32"/>
          <w:szCs w:val="32"/>
          <w:highlight w:val="none"/>
          <w:lang w:val="en-US" w:eastAsia="zh-CN"/>
        </w:rPr>
        <w:t>1</w:t>
      </w:r>
      <w:r>
        <w:rPr>
          <w:rFonts w:hint="eastAsia" w:ascii="黑体" w:hAnsi="黑体" w:eastAsia="黑体" w:cs="黑体"/>
          <w:color w:val="000000"/>
          <w:w w:val="96"/>
          <w:sz w:val="32"/>
          <w:szCs w:val="32"/>
          <w:highlight w:val="none"/>
        </w:rPr>
        <w:t xml:space="preserve">。   </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黑体" w:hAnsi="黑体" w:eastAsia="黑体" w:cs="黑体"/>
          <w:color w:val="000000"/>
          <w:sz w:val="32"/>
          <w:szCs w:val="32"/>
          <w:highlight w:val="none"/>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黑体" w:hAnsi="ˎ̥" w:eastAsia="黑体"/>
          <w:color w:val="000000"/>
          <w:sz w:val="32"/>
          <w:szCs w:val="32"/>
          <w:highlight w:val="none"/>
        </w:rPr>
      </w:pPr>
      <w:bookmarkStart w:id="71" w:name="_Toc27590_WPSOffice_Level1"/>
      <w:bookmarkStart w:id="72" w:name="_Toc4402_WPSOffice_Level1"/>
      <w:bookmarkStart w:id="73" w:name="_Toc31264_WPSOffice_Level1"/>
      <w:bookmarkStart w:id="74" w:name="_Toc16686_WPSOffice_Level1"/>
      <w:bookmarkStart w:id="75" w:name="_Toc29683_WPSOffice_Level1"/>
      <w:bookmarkStart w:id="76" w:name="_Toc28629_WPSOffice_Level1"/>
      <w:r>
        <w:rPr>
          <w:rFonts w:hint="eastAsia" w:ascii="黑体" w:hAnsi="ˎ̥" w:eastAsia="黑体"/>
          <w:color w:val="000000"/>
          <w:sz w:val="32"/>
          <w:szCs w:val="32"/>
          <w:highlight w:val="none"/>
        </w:rPr>
        <w:t>第三部分  2022年度部门决算情况说明</w:t>
      </w:r>
      <w:bookmarkEnd w:id="71"/>
      <w:bookmarkEnd w:id="72"/>
      <w:bookmarkEnd w:id="73"/>
      <w:bookmarkEnd w:id="74"/>
      <w:bookmarkEnd w:id="75"/>
      <w:bookmarkEnd w:id="76"/>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黑体" w:hAnsi="ˎ̥" w:eastAsia="黑体"/>
          <w:color w:val="000000"/>
          <w:sz w:val="32"/>
          <w:szCs w:val="32"/>
          <w:highlight w:val="none"/>
        </w:rPr>
      </w:pPr>
    </w:p>
    <w:p>
      <w:pPr>
        <w:keepNext w:val="0"/>
        <w:keepLines w:val="0"/>
        <w:pageBreakBefore w:val="0"/>
        <w:numPr>
          <w:ilvl w:val="0"/>
          <w:numId w:val="2"/>
        </w:numPr>
        <w:kinsoku/>
        <w:wordWrap/>
        <w:overflowPunct/>
        <w:topLinePunct w:val="0"/>
        <w:autoSpaceDE/>
        <w:autoSpaceDN/>
        <w:bidi w:val="0"/>
        <w:adjustRightInd/>
        <w:snapToGrid/>
        <w:spacing w:line="560" w:lineRule="exact"/>
        <w:ind w:firstLine="640" w:firstLineChars="200"/>
        <w:textAlignment w:val="auto"/>
        <w:rPr>
          <w:rFonts w:hint="default" w:ascii="仿宋_GB2312" w:hAnsi="ˎ̥" w:eastAsia="仿宋_GB2312"/>
          <w:color w:val="000000"/>
          <w:sz w:val="32"/>
          <w:szCs w:val="32"/>
          <w:highlight w:val="none"/>
          <w:lang w:val="en-US"/>
        </w:rPr>
      </w:pPr>
      <w:r>
        <w:rPr>
          <w:rFonts w:hint="eastAsia" w:ascii="黑体" w:hAnsi="黑体" w:eastAsia="黑体" w:cs="黑体"/>
          <w:bCs/>
          <w:color w:val="000000"/>
          <w:sz w:val="32"/>
          <w:szCs w:val="32"/>
          <w:highlight w:val="none"/>
        </w:rPr>
        <w:t>收入支出总体情况说明</w:t>
      </w:r>
      <w:r>
        <w:rPr>
          <w:rFonts w:hint="eastAsia" w:ascii="黑体" w:hAnsi="黑体" w:eastAsia="黑体" w:cs="黑体"/>
          <w:bCs/>
          <w:color w:val="000000"/>
          <w:sz w:val="32"/>
          <w:szCs w:val="32"/>
          <w:highlight w:val="none"/>
        </w:rPr>
        <w:br w:type="textWrapping"/>
      </w:r>
      <w:r>
        <w:rPr>
          <w:rFonts w:hint="eastAsia" w:ascii="楷体_GB2312" w:hAnsi="ˎ̥" w:eastAsia="楷体_GB2312"/>
          <w:color w:val="000000"/>
          <w:sz w:val="32"/>
          <w:szCs w:val="32"/>
          <w:highlight w:val="none"/>
        </w:rPr>
        <w:t xml:space="preserve">    </w:t>
      </w:r>
      <w:r>
        <w:rPr>
          <w:rFonts w:hint="eastAsia" w:ascii="仿宋_GB2312" w:hAnsi="ˎ̥" w:eastAsia="仿宋_GB2312"/>
          <w:color w:val="000000"/>
          <w:sz w:val="32"/>
          <w:szCs w:val="32"/>
          <w:highlight w:val="none"/>
        </w:rPr>
        <w:t>2022年度收入总计126,283.71万元，支出总计114,657.20万元，与2021年度相比，收入</w:t>
      </w:r>
      <w:r>
        <w:rPr>
          <w:rFonts w:hint="eastAsia" w:ascii="仿宋_GB2312" w:hAnsi="ˎ̥" w:eastAsia="仿宋_GB2312"/>
          <w:color w:val="000000"/>
          <w:sz w:val="32"/>
          <w:szCs w:val="32"/>
          <w:highlight w:val="none"/>
          <w:lang w:eastAsia="zh-CN"/>
        </w:rPr>
        <w:t>、</w:t>
      </w:r>
      <w:r>
        <w:rPr>
          <w:rFonts w:hint="eastAsia" w:ascii="仿宋_GB2312" w:hAnsi="ˎ̥" w:eastAsia="仿宋_GB2312"/>
          <w:color w:val="000000"/>
          <w:sz w:val="32"/>
          <w:szCs w:val="32"/>
          <w:highlight w:val="none"/>
        </w:rPr>
        <w:t>支出总计</w:t>
      </w:r>
      <w:r>
        <w:rPr>
          <w:rFonts w:hint="eastAsia" w:ascii="仿宋_GB2312" w:hAnsi="ˎ̥" w:eastAsia="仿宋_GB2312"/>
          <w:color w:val="000000"/>
          <w:sz w:val="32"/>
          <w:szCs w:val="32"/>
          <w:highlight w:val="none"/>
          <w:lang w:eastAsia="zh-CN"/>
        </w:rPr>
        <w:t>各</w:t>
      </w:r>
      <w:r>
        <w:rPr>
          <w:rFonts w:hint="eastAsia" w:ascii="仿宋_GB2312" w:hAnsi="ˎ̥" w:eastAsia="仿宋_GB2312"/>
          <w:color w:val="000000"/>
          <w:sz w:val="32"/>
          <w:szCs w:val="32"/>
          <w:highlight w:val="none"/>
        </w:rPr>
        <w:t>增加</w:t>
      </w:r>
      <w:r>
        <w:rPr>
          <w:rFonts w:hint="eastAsia" w:ascii="仿宋_GB2312" w:hAnsi="ˎ̥" w:eastAsia="仿宋_GB2312"/>
          <w:color w:val="000000"/>
          <w:sz w:val="32"/>
          <w:szCs w:val="32"/>
          <w:highlight w:val="none"/>
          <w:lang w:val="en-US" w:eastAsia="zh-CN"/>
        </w:rPr>
        <w:t>2146.15</w:t>
      </w:r>
      <w:r>
        <w:rPr>
          <w:rFonts w:hint="eastAsia" w:ascii="仿宋_GB2312" w:hAnsi="ˎ̥" w:eastAsia="仿宋_GB2312"/>
          <w:color w:val="000000"/>
          <w:sz w:val="32"/>
          <w:szCs w:val="32"/>
          <w:highlight w:val="none"/>
        </w:rPr>
        <w:t>万元，增长</w:t>
      </w:r>
      <w:r>
        <w:rPr>
          <w:rFonts w:hint="eastAsia" w:ascii="仿宋_GB2312" w:hAnsi="ˎ̥" w:eastAsia="仿宋_GB2312"/>
          <w:color w:val="000000"/>
          <w:sz w:val="32"/>
          <w:szCs w:val="32"/>
          <w:highlight w:val="none"/>
          <w:lang w:val="en-US" w:eastAsia="zh-CN"/>
        </w:rPr>
        <w:t>1.7</w:t>
      </w:r>
      <w:r>
        <w:rPr>
          <w:rFonts w:hint="eastAsia" w:ascii="仿宋_GB2312" w:hAnsi="ˎ̥" w:eastAsia="仿宋_GB2312"/>
          <w:color w:val="000000"/>
          <w:sz w:val="32"/>
          <w:szCs w:val="32"/>
          <w:highlight w:val="none"/>
        </w:rPr>
        <w:t>%。主要原因：一是一般公共预算财政拨款收入</w:t>
      </w:r>
      <w:r>
        <w:rPr>
          <w:rFonts w:hint="eastAsia" w:ascii="仿宋_GB2312" w:hAnsi="ˎ̥" w:eastAsia="仿宋_GB2312"/>
          <w:color w:val="000000"/>
          <w:sz w:val="32"/>
          <w:szCs w:val="32"/>
          <w:highlight w:val="none"/>
          <w:lang w:eastAsia="zh-CN"/>
        </w:rPr>
        <w:t>增加</w:t>
      </w:r>
      <w:r>
        <w:rPr>
          <w:rFonts w:hint="eastAsia" w:ascii="仿宋_GB2312" w:hAnsi="ˎ̥" w:eastAsia="仿宋_GB2312"/>
          <w:color w:val="000000"/>
          <w:sz w:val="32"/>
          <w:szCs w:val="32"/>
          <w:highlight w:val="none"/>
          <w:lang w:val="en-US" w:eastAsia="zh-CN"/>
        </w:rPr>
        <w:t>7531.8万元</w:t>
      </w:r>
      <w:r>
        <w:rPr>
          <w:rFonts w:hint="eastAsia" w:ascii="仿宋_GB2312" w:hAnsi="ˎ̥" w:eastAsia="仿宋_GB2312"/>
          <w:color w:val="000000"/>
          <w:sz w:val="32"/>
          <w:szCs w:val="32"/>
          <w:highlight w:val="none"/>
        </w:rPr>
        <w:t>；二是政府性基金预算财政拨款收入</w:t>
      </w:r>
      <w:r>
        <w:rPr>
          <w:rFonts w:hint="eastAsia" w:ascii="仿宋_GB2312" w:hAnsi="ˎ̥" w:eastAsia="仿宋_GB2312"/>
          <w:color w:val="000000"/>
          <w:sz w:val="32"/>
          <w:szCs w:val="32"/>
          <w:highlight w:val="none"/>
          <w:lang w:eastAsia="zh-CN"/>
        </w:rPr>
        <w:t>增加</w:t>
      </w:r>
      <w:r>
        <w:rPr>
          <w:rFonts w:hint="eastAsia" w:ascii="仿宋_GB2312" w:hAnsi="ˎ̥" w:eastAsia="仿宋_GB2312"/>
          <w:color w:val="000000"/>
          <w:sz w:val="32"/>
          <w:szCs w:val="32"/>
          <w:highlight w:val="none"/>
          <w:lang w:val="en-US" w:eastAsia="zh-CN"/>
        </w:rPr>
        <w:t>5736.47万元；事业收入减少9597.09万元；其他收入减少342.05万元</w:t>
      </w:r>
      <w:r>
        <w:rPr>
          <w:rFonts w:hint="eastAsia" w:ascii="仿宋_GB2312" w:hAnsi="ˎ̥" w:eastAsia="仿宋_GB2312"/>
          <w:color w:val="000000"/>
          <w:sz w:val="32"/>
          <w:szCs w:val="32"/>
          <w:highlight w:val="none"/>
        </w:rPr>
        <w:t>。使用非财政拨款结余</w:t>
      </w:r>
      <w:r>
        <w:rPr>
          <w:rFonts w:hint="eastAsia" w:ascii="仿宋_GB2312" w:hAnsi="ˎ̥" w:eastAsia="仿宋_GB2312"/>
          <w:color w:val="000000"/>
          <w:sz w:val="32"/>
          <w:szCs w:val="32"/>
          <w:highlight w:val="none"/>
          <w:lang w:val="en-US" w:eastAsia="zh-CN"/>
        </w:rPr>
        <w:t>0</w:t>
      </w:r>
      <w:r>
        <w:rPr>
          <w:rFonts w:hint="eastAsia" w:ascii="仿宋_GB2312" w:hAnsi="ˎ̥" w:eastAsia="仿宋_GB2312"/>
          <w:color w:val="000000"/>
          <w:sz w:val="32"/>
          <w:szCs w:val="32"/>
          <w:highlight w:val="none"/>
        </w:rPr>
        <w:t>万元，较2021年度决算数减少</w:t>
      </w:r>
      <w:r>
        <w:rPr>
          <w:rFonts w:hint="eastAsia" w:ascii="仿宋_GB2312" w:hAnsi="ˎ̥" w:eastAsia="仿宋_GB2312"/>
          <w:color w:val="000000"/>
          <w:sz w:val="32"/>
          <w:szCs w:val="32"/>
          <w:highlight w:val="none"/>
          <w:lang w:val="en-US" w:eastAsia="zh-CN"/>
        </w:rPr>
        <w:t>0</w:t>
      </w:r>
      <w:r>
        <w:rPr>
          <w:rFonts w:hint="eastAsia" w:ascii="仿宋_GB2312" w:hAnsi="ˎ̥" w:eastAsia="仿宋_GB2312"/>
          <w:color w:val="000000"/>
          <w:sz w:val="32"/>
          <w:szCs w:val="32"/>
          <w:highlight w:val="none"/>
        </w:rPr>
        <w:t>万元</w:t>
      </w:r>
      <w:r>
        <w:rPr>
          <w:rFonts w:hint="eastAsia" w:ascii="仿宋_GB2312" w:hAnsi="ˎ̥" w:eastAsia="仿宋_GB2312"/>
          <w:color w:val="000000"/>
          <w:sz w:val="32"/>
          <w:szCs w:val="32"/>
          <w:highlight w:val="none"/>
          <w:lang w:eastAsia="zh-CN"/>
        </w:rPr>
        <w:t>。</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ˎ̥" w:eastAsia="仿宋_GB2312"/>
          <w:color w:val="000000"/>
          <w:sz w:val="32"/>
          <w:szCs w:val="32"/>
          <w:highlight w:val="none"/>
        </w:rPr>
      </w:pPr>
      <w:r>
        <w:rPr>
          <w:rFonts w:hint="eastAsia" w:ascii="仿宋_GB2312" w:hAnsi="ˎ̥" w:eastAsia="仿宋_GB2312"/>
          <w:color w:val="000000"/>
          <w:sz w:val="32"/>
          <w:szCs w:val="32"/>
          <w:highlight w:val="none"/>
        </w:rPr>
        <w:t>年初结转结余</w:t>
      </w:r>
      <w:r>
        <w:rPr>
          <w:rFonts w:hint="eastAsia" w:ascii="仿宋_GB2312" w:hAnsi="ˎ̥" w:eastAsia="仿宋_GB2312"/>
          <w:color w:val="000000"/>
          <w:sz w:val="32"/>
          <w:szCs w:val="32"/>
          <w:highlight w:val="none"/>
          <w:lang w:val="en-US" w:eastAsia="zh-CN"/>
        </w:rPr>
        <w:t>0</w:t>
      </w:r>
      <w:r>
        <w:rPr>
          <w:rFonts w:hint="eastAsia" w:ascii="仿宋_GB2312" w:hAnsi="ˎ̥" w:eastAsia="仿宋_GB2312"/>
          <w:color w:val="000000"/>
          <w:sz w:val="32"/>
          <w:szCs w:val="32"/>
          <w:highlight w:val="none"/>
        </w:rPr>
        <w:t>万元，较2021年度决算数</w:t>
      </w:r>
      <w:r>
        <w:rPr>
          <w:rFonts w:hint="eastAsia" w:ascii="仿宋_GB2312" w:hAnsi="ˎ̥" w:eastAsia="仿宋_GB2312"/>
          <w:color w:val="000000"/>
          <w:sz w:val="32"/>
          <w:szCs w:val="32"/>
          <w:highlight w:val="none"/>
          <w:lang w:eastAsia="zh-CN"/>
        </w:rPr>
        <w:t>减少</w:t>
      </w:r>
      <w:r>
        <w:rPr>
          <w:rFonts w:hint="eastAsia" w:ascii="仿宋_GB2312" w:hAnsi="ˎ̥" w:eastAsia="仿宋_GB2312"/>
          <w:color w:val="000000"/>
          <w:sz w:val="32"/>
          <w:szCs w:val="32"/>
          <w:highlight w:val="none"/>
          <w:lang w:val="en-US" w:eastAsia="zh-CN"/>
        </w:rPr>
        <w:t>1182.98</w:t>
      </w:r>
      <w:r>
        <w:rPr>
          <w:rFonts w:hint="eastAsia" w:ascii="仿宋_GB2312" w:hAnsi="ˎ̥" w:eastAsia="仿宋_GB2312"/>
          <w:color w:val="000000"/>
          <w:sz w:val="32"/>
          <w:szCs w:val="32"/>
          <w:highlight w:val="none"/>
        </w:rPr>
        <w:t>万元，下降</w:t>
      </w:r>
      <w:r>
        <w:rPr>
          <w:rFonts w:hint="eastAsia" w:ascii="仿宋_GB2312" w:hAnsi="ˎ̥" w:eastAsia="仿宋_GB2312"/>
          <w:color w:val="000000"/>
          <w:sz w:val="32"/>
          <w:szCs w:val="32"/>
          <w:highlight w:val="none"/>
          <w:lang w:val="en-US" w:eastAsia="zh-CN"/>
        </w:rPr>
        <w:t>100</w:t>
      </w:r>
      <w:r>
        <w:rPr>
          <w:rFonts w:hint="eastAsia" w:ascii="仿宋_GB2312" w:hAnsi="ˎ̥" w:eastAsia="仿宋_GB2312"/>
          <w:color w:val="000000"/>
          <w:sz w:val="32"/>
          <w:szCs w:val="32"/>
          <w:highlight w:val="none"/>
        </w:rPr>
        <w:t>%，主要原因是</w:t>
      </w:r>
      <w:r>
        <w:rPr>
          <w:rFonts w:hint="eastAsia" w:ascii="仿宋_GB2312" w:hAnsi="ˎ̥" w:eastAsia="仿宋_GB2312"/>
          <w:color w:val="000000"/>
          <w:sz w:val="32"/>
          <w:szCs w:val="32"/>
          <w:highlight w:val="none"/>
          <w:lang w:val="en-US" w:eastAsia="zh-CN"/>
        </w:rPr>
        <w:t>2022年年初无结转结余</w:t>
      </w:r>
      <w:r>
        <w:rPr>
          <w:rFonts w:hint="eastAsia" w:ascii="仿宋_GB2312" w:hAnsi="ˎ̥" w:eastAsia="仿宋_GB2312"/>
          <w:color w:val="000000"/>
          <w:sz w:val="32"/>
          <w:szCs w:val="32"/>
          <w:highlight w:val="none"/>
        </w:rPr>
        <w:t>。</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ˎ̥" w:eastAsia="仿宋_GB2312"/>
          <w:color w:val="000000"/>
          <w:sz w:val="32"/>
          <w:szCs w:val="32"/>
          <w:highlight w:val="none"/>
          <w:lang w:eastAsia="zh-CN"/>
        </w:rPr>
      </w:pPr>
      <w:r>
        <w:rPr>
          <w:rFonts w:hint="eastAsia" w:ascii="仿宋_GB2312" w:hAnsi="ˎ̥" w:eastAsia="仿宋_GB2312"/>
          <w:color w:val="000000"/>
          <w:sz w:val="32"/>
          <w:szCs w:val="32"/>
          <w:highlight w:val="none"/>
        </w:rPr>
        <w:t>年末结转结余</w:t>
      </w:r>
      <w:r>
        <w:rPr>
          <w:rFonts w:hint="eastAsia" w:ascii="仿宋_GB2312" w:hAnsi="ˎ̥" w:eastAsia="仿宋_GB2312"/>
          <w:color w:val="000000"/>
          <w:sz w:val="32"/>
          <w:szCs w:val="32"/>
          <w:highlight w:val="none"/>
          <w:lang w:val="en-US" w:eastAsia="zh-CN"/>
        </w:rPr>
        <w:t>0</w:t>
      </w:r>
      <w:r>
        <w:rPr>
          <w:rFonts w:hint="eastAsia" w:ascii="仿宋_GB2312" w:hAnsi="ˎ̥" w:eastAsia="仿宋_GB2312"/>
          <w:color w:val="000000"/>
          <w:sz w:val="32"/>
          <w:szCs w:val="32"/>
          <w:highlight w:val="none"/>
        </w:rPr>
        <w:t>万元，较2021年度决算数增加</w:t>
      </w:r>
      <w:r>
        <w:rPr>
          <w:rFonts w:hint="eastAsia" w:ascii="仿宋_GB2312" w:hAnsi="ˎ̥" w:eastAsia="仿宋_GB2312"/>
          <w:color w:val="000000"/>
          <w:sz w:val="32"/>
          <w:szCs w:val="32"/>
          <w:highlight w:val="none"/>
          <w:lang w:val="en-US" w:eastAsia="zh-CN"/>
        </w:rPr>
        <w:t>0</w:t>
      </w:r>
      <w:r>
        <w:rPr>
          <w:rFonts w:hint="eastAsia" w:ascii="仿宋_GB2312" w:hAnsi="ˎ̥" w:eastAsia="仿宋_GB2312"/>
          <w:color w:val="000000"/>
          <w:sz w:val="32"/>
          <w:szCs w:val="32"/>
          <w:highlight w:val="none"/>
        </w:rPr>
        <w:t>万元，增长</w:t>
      </w:r>
      <w:r>
        <w:rPr>
          <w:rFonts w:hint="eastAsia" w:ascii="仿宋_GB2312" w:hAnsi="ˎ̥" w:eastAsia="仿宋_GB2312"/>
          <w:color w:val="000000"/>
          <w:sz w:val="32"/>
          <w:szCs w:val="32"/>
          <w:highlight w:val="none"/>
          <w:lang w:val="en-US" w:eastAsia="zh-CN"/>
        </w:rPr>
        <w:t>0</w:t>
      </w:r>
      <w:r>
        <w:rPr>
          <w:rFonts w:hint="eastAsia" w:ascii="仿宋_GB2312" w:hAnsi="ˎ̥" w:eastAsia="仿宋_GB2312"/>
          <w:color w:val="000000"/>
          <w:sz w:val="32"/>
          <w:szCs w:val="32"/>
          <w:highlight w:val="none"/>
        </w:rPr>
        <w:t>%，主要原因是</w:t>
      </w:r>
      <w:r>
        <w:rPr>
          <w:rFonts w:hint="eastAsia" w:ascii="仿宋_GB2312" w:hAnsi="ˎ̥" w:eastAsia="仿宋_GB2312"/>
          <w:color w:val="000000"/>
          <w:sz w:val="32"/>
          <w:szCs w:val="32"/>
          <w:highlight w:val="none"/>
          <w:lang w:val="en-US" w:eastAsia="zh-CN"/>
        </w:rPr>
        <w:t>2022年</w:t>
      </w:r>
      <w:r>
        <w:rPr>
          <w:rFonts w:hint="eastAsia" w:ascii="仿宋_GB2312" w:hAnsi="ˎ̥" w:eastAsia="仿宋_GB2312"/>
          <w:color w:val="000000"/>
          <w:sz w:val="32"/>
          <w:szCs w:val="32"/>
          <w:highlight w:val="none"/>
        </w:rPr>
        <w:t>年末</w:t>
      </w:r>
      <w:r>
        <w:rPr>
          <w:rFonts w:hint="eastAsia" w:ascii="仿宋_GB2312" w:hAnsi="ˎ̥" w:eastAsia="仿宋_GB2312"/>
          <w:color w:val="000000"/>
          <w:sz w:val="32"/>
          <w:szCs w:val="32"/>
          <w:highlight w:val="none"/>
          <w:lang w:eastAsia="zh-CN"/>
        </w:rPr>
        <w:t>无</w:t>
      </w:r>
      <w:r>
        <w:rPr>
          <w:rFonts w:hint="eastAsia" w:ascii="仿宋_GB2312" w:hAnsi="ˎ̥" w:eastAsia="仿宋_GB2312"/>
          <w:color w:val="000000"/>
          <w:sz w:val="32"/>
          <w:szCs w:val="32"/>
          <w:highlight w:val="none"/>
        </w:rPr>
        <w:t>结转结余</w:t>
      </w:r>
      <w:r>
        <w:rPr>
          <w:rFonts w:hint="eastAsia" w:ascii="仿宋_GB2312" w:hAnsi="ˎ̥" w:eastAsia="仿宋_GB2312"/>
          <w:color w:val="000000"/>
          <w:sz w:val="32"/>
          <w:szCs w:val="32"/>
          <w:highlight w:val="none"/>
          <w:lang w:eastAsia="zh-CN"/>
        </w:rPr>
        <w:t>。</w:t>
      </w:r>
    </w:p>
    <w:p>
      <w:pPr>
        <w:keepNext w:val="0"/>
        <w:keepLines w:val="0"/>
        <w:pageBreakBefore w:val="0"/>
        <w:numPr>
          <w:ilvl w:val="0"/>
          <w:numId w:val="2"/>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ˎ̥" w:eastAsia="仿宋_GB2312"/>
          <w:color w:val="000000"/>
          <w:sz w:val="32"/>
          <w:szCs w:val="32"/>
          <w:highlight w:val="none"/>
        </w:rPr>
      </w:pPr>
      <w:r>
        <w:rPr>
          <w:rFonts w:hint="eastAsia" w:ascii="黑体" w:hAnsi="黑体" w:eastAsia="黑体" w:cs="黑体"/>
          <w:bCs/>
          <w:color w:val="000000"/>
          <w:sz w:val="32"/>
          <w:szCs w:val="32"/>
          <w:highlight w:val="none"/>
        </w:rPr>
        <w:t>收入决算情况说明</w:t>
      </w:r>
      <w:r>
        <w:rPr>
          <w:rFonts w:hint="eastAsia" w:ascii="黑体" w:hAnsi="黑体" w:eastAsia="黑体" w:cs="黑体"/>
          <w:bCs/>
          <w:color w:val="000000"/>
          <w:sz w:val="32"/>
          <w:szCs w:val="32"/>
          <w:highlight w:val="none"/>
        </w:rPr>
        <w:br w:type="textWrapping"/>
      </w:r>
      <w:r>
        <w:rPr>
          <w:rFonts w:hint="eastAsia" w:ascii="仿宋_GB2312" w:hAnsi="ˎ̥" w:eastAsia="仿宋_GB2312"/>
          <w:color w:val="000000"/>
          <w:sz w:val="32"/>
          <w:szCs w:val="32"/>
          <w:highlight w:val="none"/>
        </w:rPr>
        <w:t xml:space="preserve">    本年收入合计126,283.71万元，其中：财政拨款收入38,894.91万元，占</w:t>
      </w:r>
      <w:r>
        <w:rPr>
          <w:rFonts w:hint="eastAsia" w:ascii="仿宋_GB2312" w:hAnsi="ˎ̥" w:eastAsia="仿宋_GB2312"/>
          <w:color w:val="000000"/>
          <w:sz w:val="32"/>
          <w:szCs w:val="32"/>
          <w:highlight w:val="none"/>
          <w:lang w:val="en-US" w:eastAsia="zh-CN"/>
        </w:rPr>
        <w:t>30.8</w:t>
      </w:r>
      <w:r>
        <w:rPr>
          <w:rFonts w:hint="eastAsia" w:ascii="仿宋_GB2312" w:hAnsi="ˎ̥" w:eastAsia="仿宋_GB2312"/>
          <w:color w:val="000000"/>
          <w:sz w:val="32"/>
          <w:szCs w:val="32"/>
          <w:highlight w:val="none"/>
        </w:rPr>
        <w:t>%；上级补助收入</w:t>
      </w:r>
      <w:r>
        <w:rPr>
          <w:rFonts w:hint="eastAsia" w:ascii="仿宋_GB2312" w:hAnsi="ˎ̥" w:eastAsia="仿宋_GB2312"/>
          <w:color w:val="000000"/>
          <w:sz w:val="32"/>
          <w:szCs w:val="32"/>
          <w:highlight w:val="none"/>
          <w:lang w:val="en-US" w:eastAsia="zh-CN"/>
        </w:rPr>
        <w:t>0</w:t>
      </w:r>
      <w:r>
        <w:rPr>
          <w:rFonts w:hint="eastAsia" w:ascii="仿宋_GB2312" w:hAnsi="ˎ̥" w:eastAsia="仿宋_GB2312"/>
          <w:color w:val="000000"/>
          <w:sz w:val="32"/>
          <w:szCs w:val="32"/>
          <w:highlight w:val="none"/>
        </w:rPr>
        <w:t>万元，占</w:t>
      </w:r>
      <w:r>
        <w:rPr>
          <w:rFonts w:hint="eastAsia" w:ascii="仿宋_GB2312" w:hAnsi="ˎ̥" w:eastAsia="仿宋_GB2312"/>
          <w:color w:val="000000"/>
          <w:sz w:val="32"/>
          <w:szCs w:val="32"/>
          <w:highlight w:val="none"/>
          <w:lang w:val="en-US" w:eastAsia="zh-CN"/>
        </w:rPr>
        <w:t>0</w:t>
      </w:r>
      <w:r>
        <w:rPr>
          <w:rFonts w:hint="eastAsia" w:ascii="仿宋_GB2312" w:hAnsi="ˎ̥" w:eastAsia="仿宋_GB2312"/>
          <w:color w:val="000000"/>
          <w:sz w:val="32"/>
          <w:szCs w:val="32"/>
          <w:highlight w:val="none"/>
        </w:rPr>
        <w:t>%</w:t>
      </w:r>
      <w:r>
        <w:rPr>
          <w:rFonts w:hint="eastAsia" w:ascii="仿宋_GB2312" w:hAnsi="ˎ̥" w:eastAsia="仿宋_GB2312"/>
          <w:color w:val="000000"/>
          <w:sz w:val="32"/>
          <w:szCs w:val="32"/>
          <w:highlight w:val="none"/>
          <w:lang w:eastAsia="zh-CN"/>
        </w:rPr>
        <w:t>；</w:t>
      </w:r>
      <w:r>
        <w:rPr>
          <w:rFonts w:hint="eastAsia" w:ascii="仿宋_GB2312" w:hAnsi="ˎ̥" w:eastAsia="仿宋_GB2312"/>
          <w:color w:val="000000"/>
          <w:sz w:val="32"/>
          <w:szCs w:val="32"/>
          <w:highlight w:val="none"/>
        </w:rPr>
        <w:t>事业收入86,993.95万元，占</w:t>
      </w:r>
      <w:r>
        <w:rPr>
          <w:rFonts w:hint="eastAsia" w:ascii="仿宋_GB2312" w:hAnsi="ˎ̥" w:eastAsia="仿宋_GB2312"/>
          <w:color w:val="000000"/>
          <w:sz w:val="32"/>
          <w:szCs w:val="32"/>
          <w:highlight w:val="none"/>
          <w:lang w:val="en-US" w:eastAsia="zh-CN"/>
        </w:rPr>
        <w:t>68.9</w:t>
      </w:r>
      <w:r>
        <w:rPr>
          <w:rFonts w:hint="eastAsia" w:ascii="仿宋_GB2312" w:hAnsi="ˎ̥" w:eastAsia="仿宋_GB2312"/>
          <w:color w:val="000000"/>
          <w:sz w:val="32"/>
          <w:szCs w:val="32"/>
          <w:highlight w:val="none"/>
        </w:rPr>
        <w:t>%</w:t>
      </w:r>
      <w:r>
        <w:rPr>
          <w:rFonts w:hint="eastAsia" w:ascii="仿宋_GB2312" w:hAnsi="ˎ̥" w:eastAsia="仿宋_GB2312"/>
          <w:color w:val="000000"/>
          <w:sz w:val="32"/>
          <w:szCs w:val="32"/>
          <w:highlight w:val="none"/>
          <w:lang w:eastAsia="zh-CN"/>
        </w:rPr>
        <w:t>；</w:t>
      </w:r>
      <w:r>
        <w:rPr>
          <w:rFonts w:hint="eastAsia" w:ascii="仿宋_GB2312" w:hAnsi="ˎ̥" w:eastAsia="仿宋_GB2312"/>
          <w:color w:val="000000"/>
          <w:sz w:val="32"/>
          <w:szCs w:val="32"/>
          <w:highlight w:val="none"/>
        </w:rPr>
        <w:t>经营收入</w:t>
      </w:r>
      <w:r>
        <w:rPr>
          <w:rFonts w:hint="eastAsia" w:ascii="仿宋_GB2312" w:hAnsi="ˎ̥" w:eastAsia="仿宋_GB2312"/>
          <w:color w:val="000000"/>
          <w:sz w:val="32"/>
          <w:szCs w:val="32"/>
          <w:highlight w:val="none"/>
          <w:lang w:val="en-US" w:eastAsia="zh-CN"/>
        </w:rPr>
        <w:t>0</w:t>
      </w:r>
      <w:r>
        <w:rPr>
          <w:rFonts w:hint="eastAsia" w:ascii="仿宋_GB2312" w:hAnsi="ˎ̥" w:eastAsia="仿宋_GB2312"/>
          <w:color w:val="000000"/>
          <w:sz w:val="32"/>
          <w:szCs w:val="32"/>
          <w:highlight w:val="none"/>
        </w:rPr>
        <w:t>万元，占</w:t>
      </w:r>
      <w:r>
        <w:rPr>
          <w:rFonts w:hint="eastAsia" w:ascii="仿宋_GB2312" w:hAnsi="ˎ̥" w:eastAsia="仿宋_GB2312"/>
          <w:color w:val="000000"/>
          <w:sz w:val="32"/>
          <w:szCs w:val="32"/>
          <w:highlight w:val="none"/>
          <w:lang w:val="en-US" w:eastAsia="zh-CN"/>
        </w:rPr>
        <w:t>0</w:t>
      </w:r>
      <w:r>
        <w:rPr>
          <w:rFonts w:hint="eastAsia" w:ascii="仿宋_GB2312" w:hAnsi="ˎ̥" w:eastAsia="仿宋_GB2312"/>
          <w:color w:val="000000"/>
          <w:sz w:val="32"/>
          <w:szCs w:val="32"/>
          <w:highlight w:val="none"/>
        </w:rPr>
        <w:t>%</w:t>
      </w:r>
      <w:r>
        <w:rPr>
          <w:rFonts w:hint="eastAsia" w:ascii="仿宋_GB2312" w:hAnsi="ˎ̥" w:eastAsia="仿宋_GB2312"/>
          <w:color w:val="000000"/>
          <w:sz w:val="32"/>
          <w:szCs w:val="32"/>
          <w:highlight w:val="none"/>
          <w:lang w:eastAsia="zh-CN"/>
        </w:rPr>
        <w:t>；</w:t>
      </w:r>
      <w:r>
        <w:rPr>
          <w:rFonts w:hint="eastAsia" w:ascii="仿宋_GB2312" w:hAnsi="ˎ̥" w:eastAsia="仿宋_GB2312"/>
          <w:color w:val="000000"/>
          <w:sz w:val="32"/>
          <w:szCs w:val="32"/>
          <w:highlight w:val="none"/>
        </w:rPr>
        <w:t>附属单位上缴收入</w:t>
      </w:r>
      <w:r>
        <w:rPr>
          <w:rFonts w:hint="eastAsia" w:ascii="仿宋_GB2312" w:hAnsi="ˎ̥" w:eastAsia="仿宋_GB2312"/>
          <w:color w:val="000000"/>
          <w:sz w:val="32"/>
          <w:szCs w:val="32"/>
          <w:highlight w:val="none"/>
          <w:lang w:val="en-US" w:eastAsia="zh-CN"/>
        </w:rPr>
        <w:t>0</w:t>
      </w:r>
      <w:r>
        <w:rPr>
          <w:rFonts w:hint="eastAsia" w:ascii="仿宋_GB2312" w:hAnsi="ˎ̥" w:eastAsia="仿宋_GB2312"/>
          <w:color w:val="000000"/>
          <w:sz w:val="32"/>
          <w:szCs w:val="32"/>
          <w:highlight w:val="none"/>
        </w:rPr>
        <w:t>万元，占</w:t>
      </w:r>
      <w:r>
        <w:rPr>
          <w:rFonts w:hint="eastAsia" w:ascii="仿宋_GB2312" w:hAnsi="ˎ̥" w:eastAsia="仿宋_GB2312"/>
          <w:color w:val="000000"/>
          <w:sz w:val="32"/>
          <w:szCs w:val="32"/>
          <w:highlight w:val="none"/>
          <w:lang w:val="en-US" w:eastAsia="zh-CN"/>
        </w:rPr>
        <w:t>0</w:t>
      </w:r>
      <w:r>
        <w:rPr>
          <w:rFonts w:hint="eastAsia" w:ascii="仿宋_GB2312" w:hAnsi="ˎ̥" w:eastAsia="仿宋_GB2312"/>
          <w:color w:val="000000"/>
          <w:sz w:val="32"/>
          <w:szCs w:val="32"/>
          <w:highlight w:val="none"/>
        </w:rPr>
        <w:t>%；其他收入394.86万元，占</w:t>
      </w:r>
      <w:r>
        <w:rPr>
          <w:rFonts w:hint="eastAsia" w:ascii="仿宋_GB2312" w:hAnsi="ˎ̥" w:eastAsia="仿宋_GB2312"/>
          <w:color w:val="000000"/>
          <w:sz w:val="32"/>
          <w:szCs w:val="32"/>
          <w:highlight w:val="none"/>
          <w:lang w:val="en-US" w:eastAsia="zh-CN"/>
        </w:rPr>
        <w:t>0.3</w:t>
      </w:r>
      <w:r>
        <w:rPr>
          <w:rFonts w:hint="eastAsia" w:ascii="仿宋_GB2312" w:hAnsi="ˎ̥" w:eastAsia="仿宋_GB2312"/>
          <w:color w:val="000000"/>
          <w:sz w:val="32"/>
          <w:szCs w:val="32"/>
          <w:highlight w:val="none"/>
        </w:rPr>
        <w:t>%。</w:t>
      </w:r>
    </w:p>
    <w:p>
      <w:pPr>
        <w:keepNext w:val="0"/>
        <w:keepLines w:val="0"/>
        <w:pageBreakBefore w:val="0"/>
        <w:numPr>
          <w:numId w:val="0"/>
        </w:numPr>
        <w:kinsoku/>
        <w:wordWrap/>
        <w:overflowPunct/>
        <w:topLinePunct w:val="0"/>
        <w:autoSpaceDE/>
        <w:autoSpaceDN/>
        <w:bidi w:val="0"/>
        <w:adjustRightInd/>
        <w:snapToGrid/>
        <w:spacing w:line="560" w:lineRule="exact"/>
        <w:ind w:leftChars="200"/>
        <w:textAlignment w:val="auto"/>
        <w:rPr>
          <w:rFonts w:hint="eastAsia" w:ascii="仿宋_GB2312" w:hAnsi="ˎ̥" w:eastAsia="仿宋_GB2312"/>
          <w:color w:val="000000"/>
          <w:sz w:val="32"/>
          <w:szCs w:val="32"/>
          <w:highlight w:val="none"/>
        </w:rPr>
      </w:pPr>
    </w:p>
    <w:p>
      <w:pPr>
        <w:keepNext w:val="0"/>
        <w:keepLines w:val="0"/>
        <w:pageBreakBefore w:val="0"/>
        <w:kinsoku/>
        <w:wordWrap/>
        <w:overflowPunct/>
        <w:topLinePunct w:val="0"/>
        <w:autoSpaceDE/>
        <w:autoSpaceDN/>
        <w:bidi w:val="0"/>
        <w:adjustRightInd/>
        <w:snapToGrid/>
        <w:spacing w:line="560" w:lineRule="exact"/>
        <w:ind w:firstLine="627" w:firstLineChars="196"/>
        <w:textAlignment w:val="auto"/>
        <w:rPr>
          <w:rFonts w:hint="eastAsia" w:ascii="黑体" w:hAnsi="黑体" w:eastAsia="黑体" w:cs="黑体"/>
          <w:bCs/>
          <w:color w:val="000000"/>
          <w:sz w:val="32"/>
          <w:szCs w:val="32"/>
          <w:highlight w:val="none"/>
        </w:rPr>
      </w:pPr>
      <w:r>
        <w:rPr>
          <w:rFonts w:hint="eastAsia" w:ascii="黑体" w:hAnsi="黑体" w:eastAsia="黑体" w:cs="黑体"/>
          <w:bCs/>
          <w:color w:val="000000"/>
          <w:sz w:val="32"/>
          <w:szCs w:val="32"/>
          <w:highlight w:val="none"/>
        </w:rPr>
        <w:t>三、支出决算情况说明</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ˎ̥" w:eastAsia="仿宋_GB2312"/>
          <w:color w:val="000000"/>
          <w:sz w:val="32"/>
          <w:szCs w:val="32"/>
          <w:highlight w:val="none"/>
        </w:rPr>
      </w:pPr>
      <w:r>
        <w:rPr>
          <w:rFonts w:hint="eastAsia" w:ascii="仿宋_GB2312" w:hAnsi="ˎ̥" w:eastAsia="仿宋_GB2312"/>
          <w:color w:val="000000"/>
          <w:sz w:val="32"/>
          <w:szCs w:val="32"/>
          <w:highlight w:val="none"/>
        </w:rPr>
        <w:t>本年支出合计114,657.20万元，其中：基本支出75,762.30万元，占</w:t>
      </w:r>
      <w:r>
        <w:rPr>
          <w:rFonts w:hint="eastAsia" w:ascii="仿宋_GB2312" w:hAnsi="ˎ̥" w:eastAsia="仿宋_GB2312"/>
          <w:color w:val="000000"/>
          <w:sz w:val="32"/>
          <w:szCs w:val="32"/>
          <w:highlight w:val="none"/>
          <w:lang w:val="en-US" w:eastAsia="zh-CN"/>
        </w:rPr>
        <w:t>66.1</w:t>
      </w:r>
      <w:r>
        <w:rPr>
          <w:rFonts w:hint="eastAsia" w:ascii="仿宋_GB2312" w:hAnsi="ˎ̥" w:eastAsia="仿宋_GB2312"/>
          <w:color w:val="000000"/>
          <w:sz w:val="32"/>
          <w:szCs w:val="32"/>
          <w:highlight w:val="none"/>
        </w:rPr>
        <w:t>%；项目支出38,894.91万元，占</w:t>
      </w:r>
      <w:r>
        <w:rPr>
          <w:rFonts w:hint="eastAsia" w:ascii="仿宋_GB2312" w:hAnsi="ˎ̥" w:eastAsia="仿宋_GB2312"/>
          <w:color w:val="000000"/>
          <w:sz w:val="32"/>
          <w:szCs w:val="32"/>
          <w:highlight w:val="none"/>
          <w:lang w:val="en-US" w:eastAsia="zh-CN"/>
        </w:rPr>
        <w:t>33.9</w:t>
      </w:r>
      <w:r>
        <w:rPr>
          <w:rFonts w:hint="eastAsia" w:ascii="仿宋_GB2312" w:hAnsi="ˎ̥" w:eastAsia="仿宋_GB2312"/>
          <w:color w:val="000000"/>
          <w:sz w:val="32"/>
          <w:szCs w:val="32"/>
          <w:highlight w:val="none"/>
        </w:rPr>
        <w:t>%；上缴上级支出</w:t>
      </w:r>
      <w:r>
        <w:rPr>
          <w:rFonts w:hint="eastAsia" w:ascii="仿宋_GB2312" w:hAnsi="ˎ̥" w:eastAsia="仿宋_GB2312"/>
          <w:color w:val="000000"/>
          <w:sz w:val="32"/>
          <w:szCs w:val="32"/>
          <w:highlight w:val="none"/>
          <w:lang w:val="en-US" w:eastAsia="zh-CN"/>
        </w:rPr>
        <w:t>0</w:t>
      </w:r>
      <w:r>
        <w:rPr>
          <w:rFonts w:hint="eastAsia" w:ascii="仿宋_GB2312" w:hAnsi="ˎ̥" w:eastAsia="仿宋_GB2312"/>
          <w:color w:val="000000"/>
          <w:sz w:val="32"/>
          <w:szCs w:val="32"/>
          <w:highlight w:val="none"/>
        </w:rPr>
        <w:t>万元，占</w:t>
      </w:r>
      <w:r>
        <w:rPr>
          <w:rFonts w:hint="eastAsia" w:ascii="仿宋_GB2312" w:hAnsi="ˎ̥" w:eastAsia="仿宋_GB2312"/>
          <w:color w:val="000000"/>
          <w:sz w:val="32"/>
          <w:szCs w:val="32"/>
          <w:highlight w:val="none"/>
          <w:lang w:val="en-US" w:eastAsia="zh-CN"/>
        </w:rPr>
        <w:t>0</w:t>
      </w:r>
      <w:r>
        <w:rPr>
          <w:rFonts w:hint="eastAsia" w:ascii="仿宋_GB2312" w:hAnsi="ˎ̥" w:eastAsia="仿宋_GB2312"/>
          <w:color w:val="000000"/>
          <w:sz w:val="32"/>
          <w:szCs w:val="32"/>
          <w:highlight w:val="none"/>
        </w:rPr>
        <w:t>%；经营支出</w:t>
      </w:r>
      <w:r>
        <w:rPr>
          <w:rFonts w:hint="eastAsia" w:ascii="仿宋_GB2312" w:hAnsi="ˎ̥" w:eastAsia="仿宋_GB2312"/>
          <w:color w:val="000000"/>
          <w:sz w:val="32"/>
          <w:szCs w:val="32"/>
          <w:highlight w:val="none"/>
          <w:lang w:val="en-US" w:eastAsia="zh-CN"/>
        </w:rPr>
        <w:t>0</w:t>
      </w:r>
      <w:r>
        <w:rPr>
          <w:rFonts w:hint="eastAsia" w:ascii="仿宋_GB2312" w:hAnsi="ˎ̥" w:eastAsia="仿宋_GB2312"/>
          <w:color w:val="000000"/>
          <w:sz w:val="32"/>
          <w:szCs w:val="32"/>
          <w:highlight w:val="none"/>
        </w:rPr>
        <w:t>万元，占</w:t>
      </w:r>
      <w:r>
        <w:rPr>
          <w:rFonts w:hint="eastAsia" w:ascii="仿宋_GB2312" w:hAnsi="ˎ̥" w:eastAsia="仿宋_GB2312"/>
          <w:color w:val="000000"/>
          <w:sz w:val="32"/>
          <w:szCs w:val="32"/>
          <w:highlight w:val="none"/>
          <w:lang w:val="en-US" w:eastAsia="zh-CN"/>
        </w:rPr>
        <w:t>0</w:t>
      </w:r>
      <w:r>
        <w:rPr>
          <w:rFonts w:hint="eastAsia" w:ascii="仿宋_GB2312" w:hAnsi="ˎ̥" w:eastAsia="仿宋_GB2312"/>
          <w:color w:val="000000"/>
          <w:sz w:val="32"/>
          <w:szCs w:val="32"/>
          <w:highlight w:val="none"/>
        </w:rPr>
        <w:t>%；对附属单位补助支出</w:t>
      </w:r>
      <w:r>
        <w:rPr>
          <w:rFonts w:hint="eastAsia" w:ascii="仿宋_GB2312" w:hAnsi="ˎ̥" w:eastAsia="仿宋_GB2312"/>
          <w:color w:val="000000"/>
          <w:sz w:val="32"/>
          <w:szCs w:val="32"/>
          <w:highlight w:val="none"/>
          <w:lang w:val="en-US" w:eastAsia="zh-CN"/>
        </w:rPr>
        <w:t>0</w:t>
      </w:r>
      <w:r>
        <w:rPr>
          <w:rFonts w:hint="eastAsia" w:ascii="仿宋_GB2312" w:hAnsi="ˎ̥" w:eastAsia="仿宋_GB2312"/>
          <w:color w:val="000000"/>
          <w:sz w:val="32"/>
          <w:szCs w:val="32"/>
          <w:highlight w:val="none"/>
        </w:rPr>
        <w:t>万元，占</w:t>
      </w:r>
      <w:r>
        <w:rPr>
          <w:rFonts w:hint="eastAsia" w:ascii="仿宋_GB2312" w:hAnsi="ˎ̥" w:eastAsia="仿宋_GB2312"/>
          <w:color w:val="000000"/>
          <w:sz w:val="32"/>
          <w:szCs w:val="32"/>
          <w:highlight w:val="none"/>
          <w:lang w:val="en-US" w:eastAsia="zh-CN"/>
        </w:rPr>
        <w:t>0</w:t>
      </w:r>
      <w:r>
        <w:rPr>
          <w:rFonts w:hint="eastAsia" w:ascii="仿宋_GB2312" w:hAnsi="ˎ̥" w:eastAsia="仿宋_GB2312"/>
          <w:color w:val="000000"/>
          <w:sz w:val="32"/>
          <w:szCs w:val="32"/>
          <w:highlight w:val="none"/>
        </w:rPr>
        <w:t>%。</w:t>
      </w:r>
    </w:p>
    <w:p>
      <w:pPr>
        <w:keepNext w:val="0"/>
        <w:keepLines w:val="0"/>
        <w:pageBreakBefore w:val="0"/>
        <w:kinsoku/>
        <w:wordWrap/>
        <w:overflowPunct/>
        <w:topLinePunct w:val="0"/>
        <w:autoSpaceDE/>
        <w:autoSpaceDN/>
        <w:bidi w:val="0"/>
        <w:adjustRightInd/>
        <w:snapToGrid/>
        <w:spacing w:line="560" w:lineRule="exact"/>
        <w:ind w:firstLine="627" w:firstLineChars="196"/>
        <w:textAlignment w:val="auto"/>
        <w:rPr>
          <w:rFonts w:hint="eastAsia" w:ascii="黑体" w:hAnsi="黑体" w:eastAsia="黑体" w:cs="黑体"/>
          <w:bCs/>
          <w:color w:val="000000"/>
          <w:sz w:val="32"/>
          <w:szCs w:val="32"/>
          <w:highlight w:val="none"/>
        </w:rPr>
      </w:pPr>
      <w:r>
        <w:rPr>
          <w:rFonts w:hint="eastAsia" w:ascii="黑体" w:hAnsi="黑体" w:eastAsia="黑体" w:cs="黑体"/>
          <w:bCs/>
          <w:color w:val="000000"/>
          <w:sz w:val="32"/>
          <w:szCs w:val="32"/>
          <w:highlight w:val="none"/>
        </w:rPr>
        <w:t>四、财政拨款收入支出决算总体情况说明</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ˎ̥" w:eastAsia="仿宋_GB2312"/>
          <w:color w:val="000000"/>
          <w:sz w:val="32"/>
          <w:szCs w:val="32"/>
          <w:highlight w:val="none"/>
        </w:rPr>
      </w:pPr>
      <w:r>
        <w:rPr>
          <w:rFonts w:hint="eastAsia" w:ascii="仿宋_GB2312" w:hAnsi="ˎ̥" w:eastAsia="仿宋_GB2312"/>
          <w:color w:val="000000"/>
          <w:sz w:val="32"/>
          <w:szCs w:val="32"/>
          <w:highlight w:val="none"/>
        </w:rPr>
        <w:t>2022年度财政拨款收入</w:t>
      </w:r>
      <w:r>
        <w:rPr>
          <w:rFonts w:hint="eastAsia" w:ascii="仿宋_GB2312" w:hAnsi="ˎ̥" w:eastAsia="仿宋_GB2312"/>
          <w:color w:val="000000"/>
          <w:sz w:val="32"/>
          <w:szCs w:val="32"/>
          <w:highlight w:val="none"/>
          <w:lang w:val="en-US" w:eastAsia="zh-CN"/>
        </w:rPr>
        <w:t>38894.91</w:t>
      </w:r>
      <w:r>
        <w:rPr>
          <w:rFonts w:hint="eastAsia" w:ascii="仿宋_GB2312" w:hAnsi="ˎ̥" w:eastAsia="仿宋_GB2312"/>
          <w:color w:val="000000"/>
          <w:sz w:val="32"/>
          <w:szCs w:val="32"/>
          <w:highlight w:val="none"/>
        </w:rPr>
        <w:t>万元，支出</w:t>
      </w:r>
      <w:r>
        <w:rPr>
          <w:rFonts w:hint="eastAsia" w:ascii="仿宋_GB2312" w:hAnsi="ˎ̥" w:eastAsia="仿宋_GB2312"/>
          <w:color w:val="000000"/>
          <w:sz w:val="32"/>
          <w:szCs w:val="32"/>
          <w:highlight w:val="none"/>
          <w:lang w:val="en-US" w:eastAsia="zh-CN"/>
        </w:rPr>
        <w:t>38894.91</w:t>
      </w:r>
      <w:r>
        <w:rPr>
          <w:rFonts w:hint="eastAsia" w:ascii="仿宋_GB2312" w:hAnsi="ˎ̥" w:eastAsia="仿宋_GB2312"/>
          <w:color w:val="000000"/>
          <w:sz w:val="32"/>
          <w:szCs w:val="32"/>
          <w:highlight w:val="none"/>
        </w:rPr>
        <w:t>万元。与2021年度相比，财政拨款收入、支出各增加</w:t>
      </w:r>
      <w:r>
        <w:rPr>
          <w:rFonts w:hint="eastAsia" w:ascii="仿宋_GB2312" w:hAnsi="ˎ̥" w:eastAsia="仿宋_GB2312"/>
          <w:color w:val="000000"/>
          <w:sz w:val="32"/>
          <w:szCs w:val="32"/>
          <w:highlight w:val="none"/>
          <w:lang w:val="en-US" w:eastAsia="zh-CN"/>
        </w:rPr>
        <w:t>13268.27</w:t>
      </w:r>
      <w:r>
        <w:rPr>
          <w:rFonts w:hint="eastAsia" w:ascii="仿宋_GB2312" w:hAnsi="ˎ̥" w:eastAsia="仿宋_GB2312"/>
          <w:color w:val="000000"/>
          <w:sz w:val="32"/>
          <w:szCs w:val="32"/>
          <w:highlight w:val="none"/>
        </w:rPr>
        <w:t>万元，增长</w:t>
      </w:r>
      <w:r>
        <w:rPr>
          <w:rFonts w:hint="eastAsia" w:ascii="仿宋_GB2312" w:hAnsi="ˎ̥" w:eastAsia="仿宋_GB2312"/>
          <w:color w:val="000000"/>
          <w:sz w:val="32"/>
          <w:szCs w:val="32"/>
          <w:highlight w:val="none"/>
          <w:lang w:val="en-US" w:eastAsia="zh-CN"/>
        </w:rPr>
        <w:t>51.78</w:t>
      </w:r>
      <w:r>
        <w:rPr>
          <w:rFonts w:hint="eastAsia" w:ascii="仿宋_GB2312" w:hAnsi="ˎ̥" w:eastAsia="仿宋_GB2312"/>
          <w:color w:val="000000"/>
          <w:sz w:val="32"/>
          <w:szCs w:val="32"/>
          <w:highlight w:val="none"/>
        </w:rPr>
        <w:t>%。主要原因：一是</w:t>
      </w:r>
      <w:r>
        <w:rPr>
          <w:rFonts w:hint="eastAsia" w:ascii="宋体" w:hAnsi="宋体" w:eastAsia="宋体" w:cs="宋体"/>
          <w:color w:val="000000"/>
          <w:sz w:val="32"/>
          <w:szCs w:val="32"/>
          <w:highlight w:val="none"/>
        </w:rPr>
        <w:t>一般公共预算财政拨款</w:t>
      </w:r>
      <w:r>
        <w:rPr>
          <w:rFonts w:hint="eastAsia" w:ascii="宋体" w:hAnsi="宋体" w:eastAsia="宋体" w:cs="宋体"/>
          <w:color w:val="000000"/>
          <w:sz w:val="32"/>
          <w:szCs w:val="32"/>
          <w:highlight w:val="none"/>
          <w:lang w:eastAsia="zh-CN"/>
        </w:rPr>
        <w:t>增加</w:t>
      </w:r>
      <w:r>
        <w:rPr>
          <w:rFonts w:hint="eastAsia" w:ascii="宋体" w:hAnsi="宋体" w:eastAsia="宋体" w:cs="宋体"/>
          <w:color w:val="000000"/>
          <w:sz w:val="32"/>
          <w:szCs w:val="32"/>
          <w:highlight w:val="none"/>
          <w:lang w:val="en-US" w:eastAsia="zh-CN"/>
        </w:rPr>
        <w:t>7531.80万元；其中：</w:t>
      </w:r>
      <w:r>
        <w:rPr>
          <w:rFonts w:hint="eastAsia" w:ascii="仿宋_GB2312" w:hAnsi="ˎ̥" w:eastAsia="仿宋_GB2312"/>
          <w:color w:val="000000"/>
          <w:sz w:val="32"/>
          <w:szCs w:val="32"/>
          <w:highlight w:val="none"/>
        </w:rPr>
        <w:t>机关事业单位基本养老保险缴费支出</w:t>
      </w:r>
      <w:r>
        <w:rPr>
          <w:rFonts w:hint="eastAsia" w:ascii="宋体" w:hAnsi="宋体" w:eastAsia="宋体" w:cs="宋体"/>
          <w:color w:val="000000"/>
          <w:sz w:val="32"/>
          <w:szCs w:val="32"/>
          <w:highlight w:val="none"/>
          <w:lang w:eastAsia="zh-CN"/>
        </w:rPr>
        <w:t>及职业年金支出增加</w:t>
      </w:r>
      <w:r>
        <w:rPr>
          <w:rFonts w:hint="eastAsia" w:ascii="宋体" w:hAnsi="宋体" w:eastAsia="宋体" w:cs="宋体"/>
          <w:color w:val="000000"/>
          <w:sz w:val="32"/>
          <w:szCs w:val="32"/>
          <w:highlight w:val="none"/>
          <w:lang w:val="en-US" w:eastAsia="zh-CN"/>
        </w:rPr>
        <w:t>557.08万元、卫生健康支出增加9161.53万元、城乡社区支出减少2186.79万元</w:t>
      </w:r>
      <w:r>
        <w:rPr>
          <w:rFonts w:hint="eastAsia" w:ascii="仿宋_GB2312" w:hAnsi="ˎ̥" w:eastAsia="仿宋_GB2312"/>
          <w:color w:val="000000"/>
          <w:sz w:val="32"/>
          <w:szCs w:val="32"/>
          <w:highlight w:val="none"/>
        </w:rPr>
        <w:t>。二是</w:t>
      </w:r>
      <w:r>
        <w:rPr>
          <w:rFonts w:hint="eastAsia" w:ascii="宋体" w:hAnsi="宋体" w:eastAsia="宋体"/>
          <w:sz w:val="32"/>
          <w:szCs w:val="32"/>
        </w:rPr>
        <w:t>政府性基金预算财政拨款收入</w:t>
      </w:r>
      <w:r>
        <w:rPr>
          <w:rFonts w:hint="eastAsia" w:ascii="宋体" w:hAnsi="宋体" w:eastAsia="宋体"/>
          <w:sz w:val="32"/>
          <w:szCs w:val="32"/>
          <w:lang w:eastAsia="zh-CN"/>
        </w:rPr>
        <w:t>增加</w:t>
      </w:r>
      <w:r>
        <w:rPr>
          <w:rFonts w:hint="eastAsia" w:ascii="宋体" w:hAnsi="宋体" w:eastAsia="宋体"/>
          <w:sz w:val="32"/>
          <w:szCs w:val="32"/>
          <w:lang w:val="en-US" w:eastAsia="zh-CN"/>
        </w:rPr>
        <w:t>5736.47万元</w:t>
      </w:r>
      <w:r>
        <w:rPr>
          <w:rFonts w:hint="eastAsia" w:ascii="仿宋_GB2312" w:hAnsi="ˎ̥" w:eastAsia="仿宋_GB2312"/>
          <w:color w:val="000000"/>
          <w:sz w:val="32"/>
          <w:szCs w:val="32"/>
          <w:highlight w:val="none"/>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ˎ̥" w:eastAsia="仿宋_GB2312"/>
          <w:color w:val="000000"/>
          <w:sz w:val="32"/>
          <w:szCs w:val="32"/>
          <w:highlight w:val="none"/>
        </w:rPr>
      </w:pPr>
      <w:r>
        <w:rPr>
          <w:rFonts w:hint="eastAsia" w:ascii="仿宋_GB2312" w:hAnsi="ˎ̥" w:eastAsia="仿宋_GB2312"/>
          <w:color w:val="000000"/>
          <w:sz w:val="32"/>
          <w:szCs w:val="32"/>
          <w:highlight w:val="none"/>
          <w:u w:val="none"/>
        </w:rPr>
        <w:t>与2021年度相比，支出</w:t>
      </w:r>
      <w:r>
        <w:rPr>
          <w:rFonts w:hint="eastAsia" w:ascii="仿宋_GB2312" w:hAnsi="ˎ̥" w:eastAsia="仿宋_GB2312"/>
          <w:color w:val="000000"/>
          <w:sz w:val="32"/>
          <w:szCs w:val="32"/>
          <w:highlight w:val="none"/>
          <w:u w:val="none"/>
          <w:lang w:eastAsia="zh-CN"/>
        </w:rPr>
        <w:t>增加了</w:t>
      </w:r>
      <w:r>
        <w:rPr>
          <w:rFonts w:hint="eastAsia" w:ascii="仿宋_GB2312" w:hAnsi="ˎ̥" w:eastAsia="仿宋_GB2312"/>
          <w:color w:val="000000"/>
          <w:sz w:val="32"/>
          <w:szCs w:val="32"/>
          <w:highlight w:val="none"/>
          <w:u w:val="none"/>
          <w:lang w:val="en-US" w:eastAsia="zh-CN"/>
        </w:rPr>
        <w:t>12085.30万元，</w:t>
      </w:r>
      <w:r>
        <w:rPr>
          <w:rFonts w:hint="eastAsia" w:ascii="宋体" w:hAnsi="宋体" w:eastAsia="宋体" w:cs="宋体"/>
          <w:color w:val="000000"/>
          <w:sz w:val="32"/>
          <w:szCs w:val="32"/>
          <w:highlight w:val="none"/>
          <w:u w:val="none"/>
          <w:lang w:val="en-US" w:eastAsia="zh-CN"/>
        </w:rPr>
        <w:t>其中：一是</w:t>
      </w:r>
      <w:r>
        <w:rPr>
          <w:rFonts w:hint="eastAsia" w:ascii="宋体" w:hAnsi="宋体" w:eastAsia="宋体" w:cs="宋体"/>
          <w:color w:val="000000"/>
          <w:sz w:val="32"/>
          <w:szCs w:val="32"/>
          <w:highlight w:val="none"/>
          <w:u w:val="none"/>
        </w:rPr>
        <w:t>一般公共预算财政拨款机关事业单位基本养老保险缴费支出</w:t>
      </w:r>
      <w:r>
        <w:rPr>
          <w:rFonts w:hint="eastAsia" w:ascii="宋体" w:hAnsi="宋体" w:eastAsia="宋体" w:cs="宋体"/>
          <w:color w:val="000000"/>
          <w:sz w:val="32"/>
          <w:szCs w:val="32"/>
          <w:highlight w:val="none"/>
          <w:u w:val="none"/>
          <w:lang w:eastAsia="zh-CN"/>
        </w:rPr>
        <w:t>及职业年</w:t>
      </w:r>
      <w:r>
        <w:rPr>
          <w:rFonts w:hint="eastAsia" w:ascii="宋体" w:hAnsi="宋体" w:eastAsia="宋体" w:cs="宋体"/>
          <w:color w:val="000000"/>
          <w:sz w:val="32"/>
          <w:szCs w:val="32"/>
          <w:highlight w:val="none"/>
          <w:lang w:eastAsia="zh-CN"/>
        </w:rPr>
        <w:t>金支出增加</w:t>
      </w:r>
      <w:r>
        <w:rPr>
          <w:rFonts w:hint="eastAsia" w:ascii="宋体" w:hAnsi="宋体" w:eastAsia="宋体" w:cs="宋体"/>
          <w:color w:val="000000"/>
          <w:sz w:val="32"/>
          <w:szCs w:val="32"/>
          <w:highlight w:val="none"/>
          <w:lang w:val="en-US" w:eastAsia="zh-CN"/>
        </w:rPr>
        <w:t>539.28万元、卫生健康支出增加8575.74万元、城乡社区支出减少2186.79万元</w:t>
      </w:r>
      <w:r>
        <w:rPr>
          <w:rFonts w:hint="eastAsia" w:ascii="仿宋_GB2312" w:hAnsi="ˎ̥" w:eastAsia="仿宋_GB2312"/>
          <w:color w:val="000000"/>
          <w:sz w:val="32"/>
          <w:szCs w:val="32"/>
          <w:highlight w:val="none"/>
        </w:rPr>
        <w:t>；</w:t>
      </w:r>
      <w:r>
        <w:rPr>
          <w:rFonts w:hint="eastAsia" w:ascii="宋体" w:hAnsi="宋体" w:eastAsia="宋体" w:cs="宋体"/>
          <w:color w:val="000000"/>
          <w:sz w:val="32"/>
          <w:szCs w:val="32"/>
          <w:highlight w:val="none"/>
          <w:lang w:val="en-US" w:eastAsia="zh-CN"/>
        </w:rPr>
        <w:t>二</w:t>
      </w:r>
      <w:r>
        <w:rPr>
          <w:rFonts w:hint="eastAsia" w:ascii="仿宋_GB2312" w:hAnsi="ˎ̥" w:eastAsia="仿宋_GB2312"/>
          <w:color w:val="000000"/>
          <w:sz w:val="32"/>
          <w:szCs w:val="32"/>
          <w:highlight w:val="none"/>
        </w:rPr>
        <w:t>是</w:t>
      </w:r>
      <w:r>
        <w:rPr>
          <w:rFonts w:hint="eastAsia" w:ascii="宋体" w:hAnsi="宋体" w:eastAsia="宋体"/>
          <w:sz w:val="32"/>
          <w:szCs w:val="32"/>
        </w:rPr>
        <w:t>政府性基金预算财政拨款</w:t>
      </w:r>
      <w:r>
        <w:rPr>
          <w:rFonts w:hint="eastAsia" w:ascii="宋体" w:hAnsi="宋体" w:eastAsia="宋体"/>
          <w:sz w:val="32"/>
          <w:szCs w:val="32"/>
          <w:lang w:eastAsia="zh-CN"/>
        </w:rPr>
        <w:t>支出增加</w:t>
      </w:r>
      <w:r>
        <w:rPr>
          <w:rFonts w:hint="eastAsia" w:ascii="宋体" w:hAnsi="宋体" w:eastAsia="宋体"/>
          <w:sz w:val="32"/>
          <w:szCs w:val="32"/>
          <w:lang w:val="en-US" w:eastAsia="zh-CN"/>
        </w:rPr>
        <w:t>5157.07万元</w:t>
      </w:r>
      <w:r>
        <w:rPr>
          <w:rFonts w:hint="eastAsia" w:ascii="仿宋_GB2312" w:hAnsi="ˎ̥" w:eastAsia="仿宋_GB2312"/>
          <w:color w:val="000000"/>
          <w:sz w:val="32"/>
          <w:szCs w:val="32"/>
          <w:highlight w:val="none"/>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ˎ̥" w:eastAsia="仿宋_GB2312"/>
          <w:color w:val="000000"/>
          <w:sz w:val="32"/>
          <w:szCs w:val="32"/>
          <w:highlight w:val="none"/>
          <w:lang w:val="en-US" w:eastAsia="zh-CN"/>
        </w:rPr>
      </w:pPr>
      <w:r>
        <w:rPr>
          <w:rFonts w:hint="eastAsia" w:ascii="仿宋_GB2312" w:hAnsi="ˎ̥" w:eastAsia="仿宋_GB2312"/>
          <w:color w:val="000000"/>
          <w:sz w:val="32"/>
          <w:szCs w:val="32"/>
          <w:highlight w:val="none"/>
        </w:rPr>
        <w:t>财政拨款年初结转结余</w:t>
      </w:r>
      <w:r>
        <w:rPr>
          <w:rFonts w:hint="eastAsia" w:ascii="仿宋_GB2312" w:hAnsi="ˎ̥" w:eastAsia="仿宋_GB2312"/>
          <w:color w:val="000000"/>
          <w:sz w:val="32"/>
          <w:szCs w:val="32"/>
          <w:highlight w:val="none"/>
          <w:lang w:val="en-US" w:eastAsia="zh-CN"/>
        </w:rPr>
        <w:t>0</w:t>
      </w:r>
      <w:r>
        <w:rPr>
          <w:rFonts w:hint="eastAsia" w:ascii="仿宋_GB2312" w:hAnsi="ˎ̥" w:eastAsia="仿宋_GB2312"/>
          <w:color w:val="000000"/>
          <w:sz w:val="32"/>
          <w:szCs w:val="32"/>
          <w:highlight w:val="none"/>
        </w:rPr>
        <w:t>万元，较2021年度决算数减少</w:t>
      </w:r>
      <w:r>
        <w:rPr>
          <w:rFonts w:hint="eastAsia" w:ascii="仿宋_GB2312" w:hAnsi="ˎ̥" w:eastAsia="仿宋_GB2312"/>
          <w:color w:val="000000"/>
          <w:sz w:val="32"/>
          <w:szCs w:val="32"/>
          <w:highlight w:val="none"/>
          <w:lang w:val="en-US" w:eastAsia="zh-CN"/>
        </w:rPr>
        <w:t>1182.98</w:t>
      </w:r>
      <w:r>
        <w:rPr>
          <w:rFonts w:hint="eastAsia" w:ascii="仿宋_GB2312" w:hAnsi="ˎ̥" w:eastAsia="仿宋_GB2312"/>
          <w:color w:val="000000"/>
          <w:sz w:val="32"/>
          <w:szCs w:val="32"/>
          <w:highlight w:val="none"/>
        </w:rPr>
        <w:t>万元，下降</w:t>
      </w:r>
      <w:r>
        <w:rPr>
          <w:rFonts w:hint="eastAsia" w:ascii="仿宋_GB2312" w:hAnsi="ˎ̥" w:eastAsia="仿宋_GB2312"/>
          <w:color w:val="000000"/>
          <w:sz w:val="32"/>
          <w:szCs w:val="32"/>
          <w:highlight w:val="none"/>
          <w:lang w:val="en-US" w:eastAsia="zh-CN"/>
        </w:rPr>
        <w:t>100</w:t>
      </w:r>
      <w:r>
        <w:rPr>
          <w:rFonts w:hint="eastAsia" w:ascii="仿宋_GB2312" w:hAnsi="ˎ̥" w:eastAsia="仿宋_GB2312"/>
          <w:color w:val="000000"/>
          <w:sz w:val="32"/>
          <w:szCs w:val="32"/>
          <w:highlight w:val="none"/>
        </w:rPr>
        <w:t>%</w:t>
      </w:r>
      <w:r>
        <w:rPr>
          <w:rFonts w:hint="eastAsia" w:ascii="仿宋_GB2312" w:hAnsi="ˎ̥" w:eastAsia="仿宋_GB2312"/>
          <w:color w:val="000000"/>
          <w:sz w:val="32"/>
          <w:szCs w:val="32"/>
          <w:highlight w:val="none"/>
          <w:lang w:eastAsia="zh-CN"/>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ˎ̥" w:eastAsia="仿宋_GB2312"/>
          <w:color w:val="000000"/>
          <w:sz w:val="32"/>
          <w:szCs w:val="32"/>
          <w:highlight w:val="none"/>
        </w:rPr>
      </w:pPr>
      <w:r>
        <w:rPr>
          <w:rFonts w:hint="eastAsia" w:ascii="仿宋_GB2312" w:hAnsi="ˎ̥" w:eastAsia="仿宋_GB2312"/>
          <w:color w:val="000000"/>
          <w:sz w:val="32"/>
          <w:szCs w:val="32"/>
          <w:highlight w:val="none"/>
        </w:rPr>
        <w:t>财政拨款年末结转结余</w:t>
      </w:r>
      <w:r>
        <w:rPr>
          <w:rFonts w:hint="eastAsia" w:ascii="仿宋_GB2312" w:hAnsi="ˎ̥" w:eastAsia="仿宋_GB2312"/>
          <w:color w:val="000000"/>
          <w:sz w:val="32"/>
          <w:szCs w:val="32"/>
          <w:highlight w:val="none"/>
          <w:lang w:val="en-US" w:eastAsia="zh-CN"/>
        </w:rPr>
        <w:t>0</w:t>
      </w:r>
      <w:r>
        <w:rPr>
          <w:rFonts w:hint="eastAsia" w:ascii="仿宋_GB2312" w:hAnsi="ˎ̥" w:eastAsia="仿宋_GB2312"/>
          <w:color w:val="000000"/>
          <w:sz w:val="32"/>
          <w:szCs w:val="32"/>
          <w:highlight w:val="none"/>
        </w:rPr>
        <w:t>万元，较2021年度年末数增加</w:t>
      </w:r>
      <w:r>
        <w:rPr>
          <w:rFonts w:hint="eastAsia" w:ascii="仿宋_GB2312" w:hAnsi="ˎ̥" w:eastAsia="仿宋_GB2312"/>
          <w:color w:val="000000"/>
          <w:sz w:val="32"/>
          <w:szCs w:val="32"/>
          <w:highlight w:val="none"/>
          <w:lang w:val="en-US" w:eastAsia="zh-CN"/>
        </w:rPr>
        <w:t>0</w:t>
      </w:r>
      <w:r>
        <w:rPr>
          <w:rFonts w:hint="eastAsia" w:ascii="仿宋_GB2312" w:hAnsi="ˎ̥" w:eastAsia="仿宋_GB2312"/>
          <w:color w:val="000000"/>
          <w:sz w:val="32"/>
          <w:szCs w:val="32"/>
          <w:highlight w:val="none"/>
        </w:rPr>
        <w:t>万元，增长</w:t>
      </w:r>
      <w:r>
        <w:rPr>
          <w:rFonts w:hint="eastAsia" w:ascii="仿宋_GB2312" w:hAnsi="ˎ̥" w:eastAsia="仿宋_GB2312"/>
          <w:color w:val="000000"/>
          <w:sz w:val="32"/>
          <w:szCs w:val="32"/>
          <w:highlight w:val="none"/>
          <w:lang w:val="en-US" w:eastAsia="zh-CN"/>
        </w:rPr>
        <w:t>0</w:t>
      </w:r>
      <w:r>
        <w:rPr>
          <w:rFonts w:hint="eastAsia" w:ascii="仿宋_GB2312" w:hAnsi="ˎ̥" w:eastAsia="仿宋_GB2312"/>
          <w:color w:val="000000"/>
          <w:sz w:val="32"/>
          <w:szCs w:val="32"/>
          <w:highlight w:val="none"/>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ˎ̥" w:eastAsia="仿宋_GB2312"/>
          <w:color w:val="000000"/>
          <w:sz w:val="32"/>
          <w:szCs w:val="32"/>
          <w:highlight w:val="none"/>
        </w:rPr>
      </w:pP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ˎ̥" w:eastAsia="仿宋_GB2312"/>
          <w:color w:val="000000"/>
          <w:sz w:val="32"/>
          <w:szCs w:val="32"/>
          <w:highlight w:val="none"/>
        </w:rPr>
      </w:pPr>
    </w:p>
    <w:p>
      <w:pPr>
        <w:keepNext w:val="0"/>
        <w:keepLines w:val="0"/>
        <w:pageBreakBefore w:val="0"/>
        <w:kinsoku/>
        <w:wordWrap/>
        <w:overflowPunct/>
        <w:topLinePunct w:val="0"/>
        <w:autoSpaceDE/>
        <w:autoSpaceDN/>
        <w:bidi w:val="0"/>
        <w:adjustRightInd/>
        <w:snapToGrid/>
        <w:spacing w:line="560" w:lineRule="exact"/>
        <w:ind w:firstLine="627" w:firstLineChars="196"/>
        <w:textAlignment w:val="auto"/>
        <w:rPr>
          <w:rFonts w:hint="eastAsia" w:ascii="黑体" w:hAnsi="黑体" w:eastAsia="黑体" w:cs="黑体"/>
          <w:bCs/>
          <w:color w:val="000000"/>
          <w:sz w:val="32"/>
          <w:szCs w:val="32"/>
          <w:highlight w:val="none"/>
        </w:rPr>
      </w:pPr>
      <w:r>
        <w:rPr>
          <w:rFonts w:hint="eastAsia" w:ascii="黑体" w:hAnsi="黑体" w:eastAsia="黑体" w:cs="黑体"/>
          <w:bCs/>
          <w:color w:val="000000"/>
          <w:sz w:val="32"/>
          <w:szCs w:val="32"/>
          <w:highlight w:val="none"/>
        </w:rPr>
        <w:t>五、一般公共预算财政拨款支出决算情况说明</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color w:val="000000"/>
          <w:sz w:val="32"/>
          <w:szCs w:val="32"/>
          <w:highlight w:val="none"/>
        </w:rPr>
      </w:pPr>
      <w:bookmarkStart w:id="77" w:name="_Toc13694_WPSOffice_Level2"/>
      <w:bookmarkStart w:id="78" w:name="_Toc17398_WPSOffice_Level2"/>
      <w:bookmarkStart w:id="79" w:name="_Toc23005_WPSOffice_Level2"/>
      <w:bookmarkStart w:id="80" w:name="_Toc9989_WPSOffice_Level2"/>
      <w:bookmarkStart w:id="81" w:name="_Toc21737_WPSOffice_Level2"/>
      <w:bookmarkStart w:id="82" w:name="_Toc19665_WPSOffice_Level2"/>
      <w:r>
        <w:rPr>
          <w:rFonts w:hint="eastAsia" w:ascii="楷体" w:hAnsi="楷体" w:eastAsia="楷体" w:cs="楷体"/>
          <w:color w:val="000000"/>
          <w:sz w:val="32"/>
          <w:szCs w:val="32"/>
          <w:highlight w:val="none"/>
        </w:rPr>
        <w:t>（一）一般公共预算财政拨款支出决算总体情况</w:t>
      </w:r>
      <w:bookmarkEnd w:id="77"/>
      <w:bookmarkEnd w:id="78"/>
      <w:r>
        <w:rPr>
          <w:rFonts w:hint="eastAsia" w:ascii="楷体" w:hAnsi="楷体" w:eastAsia="楷体" w:cs="楷体"/>
          <w:color w:val="000000"/>
          <w:sz w:val="32"/>
          <w:szCs w:val="32"/>
          <w:highlight w:val="none"/>
        </w:rPr>
        <w:t>。</w:t>
      </w:r>
      <w:bookmarkEnd w:id="79"/>
      <w:bookmarkEnd w:id="80"/>
      <w:bookmarkEnd w:id="81"/>
      <w:bookmarkEnd w:id="82"/>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ˎ̥" w:eastAsia="仿宋_GB2312"/>
          <w:color w:val="000000"/>
          <w:sz w:val="32"/>
          <w:szCs w:val="32"/>
          <w:highlight w:val="none"/>
          <w:u w:val="none"/>
        </w:rPr>
      </w:pPr>
      <w:r>
        <w:rPr>
          <w:rFonts w:hint="eastAsia" w:ascii="仿宋_GB2312" w:hAnsi="ˎ̥" w:eastAsia="仿宋_GB2312"/>
          <w:color w:val="000000"/>
          <w:sz w:val="32"/>
          <w:szCs w:val="32"/>
          <w:highlight w:val="none"/>
        </w:rPr>
        <w:t>2022年度一般公共预算财政拨款支出</w:t>
      </w:r>
      <w:r>
        <w:rPr>
          <w:rFonts w:hint="eastAsia" w:ascii="仿宋_GB2312" w:hAnsi="ˎ̥" w:eastAsia="仿宋_GB2312"/>
          <w:color w:val="000000"/>
          <w:sz w:val="32"/>
          <w:szCs w:val="32"/>
          <w:highlight w:val="none"/>
          <w:lang w:val="en-US" w:eastAsia="zh-CN"/>
        </w:rPr>
        <w:t>20296.55</w:t>
      </w:r>
      <w:r>
        <w:rPr>
          <w:rFonts w:hint="eastAsia" w:ascii="仿宋_GB2312" w:hAnsi="ˎ̥" w:eastAsia="仿宋_GB2312"/>
          <w:color w:val="000000"/>
          <w:sz w:val="32"/>
          <w:szCs w:val="32"/>
          <w:highlight w:val="none"/>
        </w:rPr>
        <w:t>万元，占本年支出合计的</w:t>
      </w:r>
      <w:r>
        <w:rPr>
          <w:rFonts w:hint="eastAsia" w:ascii="仿宋_GB2312" w:hAnsi="ˎ̥" w:eastAsia="仿宋_GB2312"/>
          <w:color w:val="000000"/>
          <w:sz w:val="32"/>
          <w:szCs w:val="32"/>
          <w:highlight w:val="none"/>
          <w:lang w:val="en-US" w:eastAsia="zh-CN"/>
        </w:rPr>
        <w:t>17.70</w:t>
      </w:r>
      <w:r>
        <w:rPr>
          <w:rFonts w:hint="eastAsia" w:ascii="仿宋_GB2312" w:hAnsi="ˎ̥" w:eastAsia="仿宋_GB2312"/>
          <w:color w:val="000000"/>
          <w:sz w:val="32"/>
          <w:szCs w:val="32"/>
          <w:highlight w:val="none"/>
        </w:rPr>
        <w:t>%。与2021年度相比，一般公共预算财政拨款支出</w:t>
      </w:r>
      <w:r>
        <w:rPr>
          <w:rFonts w:hint="eastAsia" w:ascii="仿宋_GB2312" w:hAnsi="ˎ̥" w:eastAsia="仿宋_GB2312"/>
          <w:color w:val="000000"/>
          <w:sz w:val="32"/>
          <w:szCs w:val="32"/>
          <w:highlight w:val="none"/>
          <w:lang w:eastAsia="zh-CN"/>
        </w:rPr>
        <w:t>增加</w:t>
      </w:r>
      <w:r>
        <w:rPr>
          <w:rFonts w:hint="eastAsia" w:ascii="仿宋_GB2312" w:hAnsi="ˎ̥" w:eastAsia="仿宋_GB2312"/>
          <w:color w:val="000000"/>
          <w:sz w:val="32"/>
          <w:szCs w:val="32"/>
          <w:highlight w:val="none"/>
          <w:lang w:val="en-US" w:eastAsia="zh-CN"/>
        </w:rPr>
        <w:t>6928.22</w:t>
      </w:r>
      <w:r>
        <w:rPr>
          <w:rFonts w:hint="eastAsia" w:ascii="仿宋_GB2312" w:hAnsi="ˎ̥" w:eastAsia="仿宋_GB2312"/>
          <w:color w:val="000000"/>
          <w:sz w:val="32"/>
          <w:szCs w:val="32"/>
          <w:highlight w:val="none"/>
        </w:rPr>
        <w:t>万元，</w:t>
      </w:r>
      <w:r>
        <w:rPr>
          <w:rFonts w:hint="eastAsia" w:ascii="仿宋_GB2312" w:hAnsi="ˎ̥" w:eastAsia="仿宋_GB2312"/>
          <w:color w:val="000000"/>
          <w:sz w:val="32"/>
          <w:szCs w:val="32"/>
          <w:highlight w:val="none"/>
          <w:lang w:eastAsia="zh-CN"/>
        </w:rPr>
        <w:t>增长</w:t>
      </w:r>
      <w:r>
        <w:rPr>
          <w:rFonts w:hint="eastAsia" w:ascii="仿宋_GB2312" w:hAnsi="ˎ̥" w:eastAsia="仿宋_GB2312"/>
          <w:color w:val="000000"/>
          <w:sz w:val="32"/>
          <w:szCs w:val="32"/>
          <w:highlight w:val="none"/>
          <w:lang w:val="en-US" w:eastAsia="zh-CN"/>
        </w:rPr>
        <w:t>51.83</w:t>
      </w:r>
      <w:r>
        <w:rPr>
          <w:rFonts w:hint="eastAsia" w:ascii="仿宋_GB2312" w:hAnsi="ˎ̥" w:eastAsia="仿宋_GB2312"/>
          <w:color w:val="000000"/>
          <w:sz w:val="32"/>
          <w:szCs w:val="32"/>
          <w:highlight w:val="none"/>
        </w:rPr>
        <w:t>%，主要原因</w:t>
      </w:r>
      <w:r>
        <w:rPr>
          <w:rFonts w:hint="eastAsia" w:ascii="仿宋_GB2312" w:hAnsi="ˎ̥" w:eastAsia="仿宋_GB2312"/>
          <w:color w:val="000000"/>
          <w:sz w:val="32"/>
          <w:szCs w:val="32"/>
          <w:highlight w:val="none"/>
          <w:lang w:eastAsia="zh-CN"/>
        </w:rPr>
        <w:t>：</w:t>
      </w:r>
      <w:r>
        <w:rPr>
          <w:rFonts w:hint="eastAsia" w:ascii="仿宋_GB2312" w:hAnsi="ˎ̥" w:eastAsia="仿宋_GB2312"/>
          <w:color w:val="000000"/>
          <w:sz w:val="32"/>
          <w:szCs w:val="32"/>
          <w:highlight w:val="none"/>
        </w:rPr>
        <w:t>是</w:t>
      </w:r>
      <w:r>
        <w:rPr>
          <w:rFonts w:hint="eastAsia" w:ascii="宋体" w:hAnsi="宋体" w:eastAsia="宋体" w:cs="宋体"/>
          <w:color w:val="000000"/>
          <w:sz w:val="32"/>
          <w:szCs w:val="32"/>
          <w:highlight w:val="none"/>
          <w:u w:val="none"/>
        </w:rPr>
        <w:t>一般公共预算财政拨款机关事业单位基本养老保险缴费支出</w:t>
      </w:r>
      <w:r>
        <w:rPr>
          <w:rFonts w:hint="eastAsia" w:ascii="宋体" w:hAnsi="宋体" w:eastAsia="宋体" w:cs="宋体"/>
          <w:color w:val="000000"/>
          <w:sz w:val="32"/>
          <w:szCs w:val="32"/>
          <w:highlight w:val="none"/>
          <w:u w:val="none"/>
          <w:lang w:eastAsia="zh-CN"/>
        </w:rPr>
        <w:t>及职业年金支出增加</w:t>
      </w:r>
      <w:r>
        <w:rPr>
          <w:rFonts w:hint="eastAsia" w:ascii="宋体" w:hAnsi="宋体" w:eastAsia="宋体" w:cs="宋体"/>
          <w:color w:val="000000"/>
          <w:sz w:val="32"/>
          <w:szCs w:val="32"/>
          <w:highlight w:val="none"/>
          <w:u w:val="none"/>
          <w:lang w:val="en-US" w:eastAsia="zh-CN"/>
        </w:rPr>
        <w:t>539.28万元、卫生健康支出增加8575.74万元、城乡社区支出减少2186.79万元</w:t>
      </w:r>
      <w:r>
        <w:rPr>
          <w:rFonts w:hint="eastAsia" w:ascii="仿宋_GB2312" w:hAnsi="ˎ̥" w:eastAsia="仿宋_GB2312"/>
          <w:color w:val="000000"/>
          <w:sz w:val="32"/>
          <w:szCs w:val="32"/>
          <w:highlight w:val="none"/>
          <w:u w:val="none"/>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color w:val="000000"/>
          <w:sz w:val="32"/>
          <w:szCs w:val="32"/>
          <w:highlight w:val="none"/>
          <w:u w:val="none"/>
        </w:rPr>
      </w:pPr>
      <w:bookmarkStart w:id="83" w:name="_Toc2711_WPSOffice_Level2"/>
      <w:bookmarkStart w:id="84" w:name="_Toc18793_WPSOffice_Level2"/>
      <w:bookmarkStart w:id="85" w:name="_Toc19075_WPSOffice_Level2"/>
      <w:bookmarkStart w:id="86" w:name="_Toc23864_WPSOffice_Level2"/>
      <w:bookmarkStart w:id="87" w:name="_Toc19535_WPSOffice_Level2"/>
      <w:bookmarkStart w:id="88" w:name="_Toc27767_WPSOffice_Level2"/>
      <w:r>
        <w:rPr>
          <w:rFonts w:hint="eastAsia" w:ascii="楷体" w:hAnsi="楷体" w:eastAsia="楷体" w:cs="楷体"/>
          <w:color w:val="000000"/>
          <w:sz w:val="32"/>
          <w:szCs w:val="32"/>
          <w:highlight w:val="none"/>
          <w:u w:val="none"/>
        </w:rPr>
        <w:t>（二）一般公共预算财政拨款支出决算结构情况</w:t>
      </w:r>
      <w:bookmarkEnd w:id="83"/>
      <w:bookmarkEnd w:id="84"/>
      <w:r>
        <w:rPr>
          <w:rFonts w:hint="eastAsia" w:ascii="楷体" w:hAnsi="楷体" w:eastAsia="楷体" w:cs="楷体"/>
          <w:color w:val="000000"/>
          <w:sz w:val="32"/>
          <w:szCs w:val="32"/>
          <w:highlight w:val="none"/>
          <w:u w:val="none"/>
        </w:rPr>
        <w:t>。</w:t>
      </w:r>
      <w:bookmarkEnd w:id="85"/>
      <w:bookmarkEnd w:id="86"/>
      <w:bookmarkEnd w:id="87"/>
      <w:bookmarkEnd w:id="88"/>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ˎ̥" w:eastAsia="仿宋_GB2312"/>
          <w:color w:val="000000"/>
          <w:sz w:val="32"/>
          <w:szCs w:val="32"/>
          <w:highlight w:val="none"/>
          <w:u w:val="none"/>
        </w:rPr>
      </w:pPr>
      <w:r>
        <w:rPr>
          <w:rFonts w:hint="eastAsia" w:ascii="仿宋_GB2312" w:hAnsi="ˎ̥" w:eastAsia="仿宋_GB2312"/>
          <w:color w:val="000000"/>
          <w:sz w:val="32"/>
          <w:szCs w:val="32"/>
          <w:highlight w:val="none"/>
          <w:u w:val="none"/>
        </w:rPr>
        <w:t>2022年度一般公共预算财政拨款支出</w:t>
      </w:r>
      <w:r>
        <w:rPr>
          <w:rFonts w:hint="eastAsia" w:ascii="仿宋_GB2312" w:hAnsi="ˎ̥" w:eastAsia="仿宋_GB2312"/>
          <w:color w:val="000000"/>
          <w:sz w:val="32"/>
          <w:szCs w:val="32"/>
          <w:highlight w:val="none"/>
          <w:u w:val="none"/>
          <w:lang w:val="en-US" w:eastAsia="zh-CN"/>
        </w:rPr>
        <w:t>20296.55</w:t>
      </w:r>
      <w:r>
        <w:rPr>
          <w:rFonts w:hint="eastAsia" w:ascii="仿宋_GB2312" w:hAnsi="ˎ̥" w:eastAsia="仿宋_GB2312"/>
          <w:color w:val="000000"/>
          <w:sz w:val="32"/>
          <w:szCs w:val="32"/>
          <w:highlight w:val="none"/>
          <w:u w:val="none"/>
        </w:rPr>
        <w:t>万元，主要用于以下方面：</w:t>
      </w:r>
      <w:r>
        <w:rPr>
          <w:rFonts w:hint="eastAsia" w:ascii="仿宋_GB2312" w:hAnsi="ˎ̥" w:eastAsia="仿宋_GB2312"/>
          <w:b/>
          <w:color w:val="000000"/>
          <w:sz w:val="32"/>
          <w:szCs w:val="32"/>
          <w:highlight w:val="none"/>
          <w:u w:val="none"/>
        </w:rPr>
        <w:t>社会保障和就业（类）</w:t>
      </w:r>
      <w:r>
        <w:rPr>
          <w:rFonts w:hint="eastAsia" w:ascii="仿宋_GB2312" w:hAnsi="ˎ̥" w:eastAsia="仿宋_GB2312"/>
          <w:color w:val="000000"/>
          <w:sz w:val="32"/>
          <w:szCs w:val="32"/>
          <w:highlight w:val="none"/>
          <w:u w:val="none"/>
        </w:rPr>
        <w:t>支出</w:t>
      </w:r>
      <w:r>
        <w:rPr>
          <w:rFonts w:hint="eastAsia" w:ascii="仿宋_GB2312" w:hAnsi="ˎ̥" w:eastAsia="仿宋_GB2312"/>
          <w:color w:val="000000"/>
          <w:sz w:val="32"/>
          <w:szCs w:val="32"/>
          <w:highlight w:val="none"/>
          <w:u w:val="none"/>
          <w:lang w:val="en-US" w:eastAsia="zh-CN"/>
        </w:rPr>
        <w:t>2970</w:t>
      </w:r>
      <w:r>
        <w:rPr>
          <w:rFonts w:hint="eastAsia" w:ascii="仿宋_GB2312" w:hAnsi="ˎ̥" w:eastAsia="仿宋_GB2312"/>
          <w:color w:val="000000"/>
          <w:sz w:val="32"/>
          <w:szCs w:val="32"/>
          <w:highlight w:val="none"/>
          <w:u w:val="none"/>
        </w:rPr>
        <w:t>万元，占</w:t>
      </w:r>
      <w:r>
        <w:rPr>
          <w:rFonts w:hint="eastAsia" w:ascii="仿宋_GB2312" w:hAnsi="ˎ̥" w:eastAsia="仿宋_GB2312"/>
          <w:color w:val="000000"/>
          <w:sz w:val="32"/>
          <w:szCs w:val="32"/>
          <w:highlight w:val="none"/>
          <w:u w:val="none"/>
          <w:lang w:val="en-US" w:eastAsia="zh-CN"/>
        </w:rPr>
        <w:t>14.63</w:t>
      </w:r>
      <w:r>
        <w:rPr>
          <w:rFonts w:hint="eastAsia" w:ascii="仿宋_GB2312" w:hAnsi="ˎ̥" w:eastAsia="仿宋_GB2312"/>
          <w:color w:val="000000"/>
          <w:sz w:val="32"/>
          <w:szCs w:val="32"/>
          <w:highlight w:val="none"/>
          <w:u w:val="none"/>
        </w:rPr>
        <w:t>%；</w:t>
      </w:r>
      <w:r>
        <w:rPr>
          <w:rFonts w:hint="eastAsia" w:ascii="仿宋_GB2312" w:hAnsi="ˎ̥" w:eastAsia="仿宋_GB2312"/>
          <w:b/>
          <w:bCs/>
          <w:color w:val="000000"/>
          <w:sz w:val="32"/>
          <w:szCs w:val="32"/>
          <w:highlight w:val="none"/>
          <w:u w:val="none"/>
          <w:lang w:eastAsia="zh-CN"/>
        </w:rPr>
        <w:t>卫生健康支出</w:t>
      </w:r>
      <w:r>
        <w:rPr>
          <w:rFonts w:hint="eastAsia" w:ascii="仿宋_GB2312" w:hAnsi="ˎ̥" w:eastAsia="仿宋_GB2312"/>
          <w:b/>
          <w:bCs/>
          <w:color w:val="000000"/>
          <w:sz w:val="32"/>
          <w:szCs w:val="32"/>
          <w:highlight w:val="none"/>
          <w:u w:val="none"/>
        </w:rPr>
        <w:t>（类）</w:t>
      </w:r>
      <w:r>
        <w:rPr>
          <w:rFonts w:hint="eastAsia" w:ascii="仿宋_GB2312" w:hAnsi="ˎ̥" w:eastAsia="仿宋_GB2312"/>
          <w:color w:val="000000"/>
          <w:sz w:val="32"/>
          <w:szCs w:val="32"/>
          <w:highlight w:val="none"/>
          <w:u w:val="none"/>
        </w:rPr>
        <w:t>支出</w:t>
      </w:r>
      <w:r>
        <w:rPr>
          <w:rFonts w:hint="eastAsia" w:ascii="仿宋_GB2312" w:hAnsi="ˎ̥" w:eastAsia="仿宋_GB2312"/>
          <w:color w:val="000000"/>
          <w:sz w:val="32"/>
          <w:szCs w:val="32"/>
          <w:highlight w:val="none"/>
          <w:u w:val="none"/>
          <w:lang w:val="en-US" w:eastAsia="zh-CN"/>
        </w:rPr>
        <w:t>17326.56</w:t>
      </w:r>
      <w:r>
        <w:rPr>
          <w:rFonts w:hint="eastAsia" w:ascii="仿宋_GB2312" w:hAnsi="ˎ̥" w:eastAsia="仿宋_GB2312"/>
          <w:color w:val="000000"/>
          <w:sz w:val="32"/>
          <w:szCs w:val="32"/>
          <w:highlight w:val="none"/>
          <w:u w:val="none"/>
        </w:rPr>
        <w:t>万元，占</w:t>
      </w:r>
      <w:r>
        <w:rPr>
          <w:rFonts w:hint="eastAsia" w:ascii="仿宋_GB2312" w:hAnsi="ˎ̥" w:eastAsia="仿宋_GB2312"/>
          <w:color w:val="000000"/>
          <w:sz w:val="32"/>
          <w:szCs w:val="32"/>
          <w:highlight w:val="none"/>
          <w:u w:val="none"/>
          <w:lang w:val="en-US" w:eastAsia="zh-CN"/>
        </w:rPr>
        <w:t>85.37</w:t>
      </w:r>
      <w:r>
        <w:rPr>
          <w:rFonts w:hint="eastAsia" w:ascii="仿宋_GB2312" w:hAnsi="ˎ̥" w:eastAsia="仿宋_GB2312"/>
          <w:color w:val="000000"/>
          <w:sz w:val="32"/>
          <w:szCs w:val="32"/>
          <w:highlight w:val="none"/>
          <w:u w:val="none"/>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color w:val="000000"/>
          <w:sz w:val="32"/>
          <w:szCs w:val="32"/>
          <w:highlight w:val="none"/>
          <w:u w:val="none"/>
        </w:rPr>
      </w:pPr>
      <w:bookmarkStart w:id="89" w:name="_Toc29364_WPSOffice_Level2"/>
      <w:bookmarkStart w:id="90" w:name="_Toc9502_WPSOffice_Level2"/>
      <w:bookmarkStart w:id="91" w:name="_Toc25136_WPSOffice_Level2"/>
      <w:bookmarkStart w:id="92" w:name="_Toc22318_WPSOffice_Level2"/>
      <w:bookmarkStart w:id="93" w:name="_Toc21701_WPSOffice_Level2"/>
      <w:bookmarkStart w:id="94" w:name="_Toc15415_WPSOffice_Level2"/>
      <w:r>
        <w:rPr>
          <w:rFonts w:hint="eastAsia" w:ascii="楷体" w:hAnsi="楷体" w:eastAsia="楷体" w:cs="楷体"/>
          <w:color w:val="000000"/>
          <w:sz w:val="32"/>
          <w:szCs w:val="32"/>
          <w:highlight w:val="none"/>
          <w:u w:val="none"/>
        </w:rPr>
        <w:t>（三）一般公共预算财政拨款支出决算具体情况。</w:t>
      </w:r>
      <w:bookmarkEnd w:id="89"/>
      <w:bookmarkEnd w:id="90"/>
      <w:bookmarkEnd w:id="91"/>
      <w:bookmarkEnd w:id="92"/>
      <w:bookmarkEnd w:id="93"/>
      <w:bookmarkEnd w:id="94"/>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ˎ̥" w:eastAsia="仿宋_GB2312"/>
          <w:color w:val="000000"/>
          <w:sz w:val="32"/>
          <w:szCs w:val="32"/>
          <w:highlight w:val="none"/>
          <w:u w:val="none"/>
        </w:rPr>
      </w:pPr>
      <w:r>
        <w:rPr>
          <w:rFonts w:hint="eastAsia" w:ascii="仿宋_GB2312" w:hAnsi="ˎ̥" w:eastAsia="仿宋_GB2312"/>
          <w:color w:val="000000"/>
          <w:sz w:val="32"/>
          <w:szCs w:val="32"/>
          <w:highlight w:val="none"/>
          <w:u w:val="none"/>
        </w:rPr>
        <w:t>2022年度一般公共预算财政拨款支出年初预算为</w:t>
      </w:r>
      <w:r>
        <w:rPr>
          <w:rFonts w:hint="eastAsia" w:ascii="仿宋_GB2312" w:hAnsi="ˎ̥" w:eastAsia="仿宋_GB2312"/>
          <w:color w:val="000000"/>
          <w:sz w:val="32"/>
          <w:szCs w:val="32"/>
          <w:highlight w:val="none"/>
          <w:u w:val="none"/>
          <w:lang w:val="en-US" w:eastAsia="zh-CN"/>
        </w:rPr>
        <w:t>6030</w:t>
      </w:r>
      <w:r>
        <w:rPr>
          <w:rFonts w:hint="eastAsia" w:ascii="仿宋_GB2312" w:hAnsi="ˎ̥" w:eastAsia="仿宋_GB2312"/>
          <w:color w:val="000000"/>
          <w:sz w:val="32"/>
          <w:szCs w:val="32"/>
          <w:highlight w:val="none"/>
          <w:u w:val="none"/>
        </w:rPr>
        <w:t>万元，支出决算为</w:t>
      </w:r>
      <w:r>
        <w:rPr>
          <w:rFonts w:hint="eastAsia" w:ascii="仿宋_GB2312" w:hAnsi="ˎ̥" w:eastAsia="仿宋_GB2312"/>
          <w:color w:val="000000"/>
          <w:sz w:val="32"/>
          <w:szCs w:val="32"/>
          <w:highlight w:val="none"/>
          <w:u w:val="none"/>
          <w:lang w:val="en-US" w:eastAsia="zh-CN"/>
        </w:rPr>
        <w:t>20296.55</w:t>
      </w:r>
      <w:r>
        <w:rPr>
          <w:rFonts w:hint="eastAsia" w:ascii="仿宋_GB2312" w:hAnsi="ˎ̥" w:eastAsia="仿宋_GB2312"/>
          <w:color w:val="000000"/>
          <w:sz w:val="32"/>
          <w:szCs w:val="32"/>
          <w:highlight w:val="none"/>
          <w:u w:val="none"/>
        </w:rPr>
        <w:t>万元，完成年初预算的</w:t>
      </w:r>
      <w:r>
        <w:rPr>
          <w:rFonts w:hint="eastAsia" w:ascii="仿宋_GB2312" w:hAnsi="ˎ̥" w:eastAsia="仿宋_GB2312"/>
          <w:color w:val="000000"/>
          <w:sz w:val="32"/>
          <w:szCs w:val="32"/>
          <w:highlight w:val="none"/>
          <w:u w:val="none"/>
          <w:lang w:val="en-US" w:eastAsia="zh-CN"/>
        </w:rPr>
        <w:t>336.59</w:t>
      </w:r>
      <w:r>
        <w:rPr>
          <w:rFonts w:hint="eastAsia" w:ascii="仿宋_GB2312" w:hAnsi="ˎ̥" w:eastAsia="仿宋_GB2312"/>
          <w:color w:val="000000"/>
          <w:sz w:val="32"/>
          <w:szCs w:val="32"/>
          <w:highlight w:val="none"/>
          <w:u w:val="none"/>
        </w:rPr>
        <w:t>%。其中：</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ˎ̥" w:eastAsia="仿宋_GB2312"/>
          <w:b/>
          <w:color w:val="000000"/>
          <w:sz w:val="32"/>
          <w:szCs w:val="32"/>
          <w:highlight w:val="none"/>
          <w:u w:val="none"/>
        </w:rPr>
      </w:pPr>
      <w:r>
        <w:rPr>
          <w:rFonts w:hint="eastAsia" w:ascii="仿宋_GB2312" w:hAnsi="ˎ̥" w:eastAsia="仿宋_GB2312"/>
          <w:color w:val="000000"/>
          <w:sz w:val="32"/>
          <w:szCs w:val="32"/>
          <w:highlight w:val="none"/>
          <w:u w:val="none"/>
        </w:rPr>
        <w:t>1.</w:t>
      </w:r>
      <w:r>
        <w:rPr>
          <w:rFonts w:hint="eastAsia" w:ascii="仿宋_GB2312" w:hAnsi="ˎ̥" w:eastAsia="仿宋_GB2312"/>
          <w:b/>
          <w:color w:val="000000"/>
          <w:sz w:val="32"/>
          <w:szCs w:val="32"/>
          <w:highlight w:val="none"/>
          <w:u w:val="none"/>
        </w:rPr>
        <w:t>社会保障和就业支出（类）行政事业单位养老支出（款）机关事业单位基本养老保险缴费支出（项）</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ˎ̥" w:eastAsia="仿宋_GB2312"/>
          <w:color w:val="000000"/>
          <w:sz w:val="32"/>
          <w:szCs w:val="32"/>
          <w:highlight w:val="none"/>
          <w:u w:val="none"/>
        </w:rPr>
      </w:pPr>
      <w:r>
        <w:rPr>
          <w:rFonts w:hint="eastAsia" w:ascii="仿宋_GB2312" w:hAnsi="ˎ̥" w:eastAsia="仿宋_GB2312"/>
          <w:color w:val="000000"/>
          <w:sz w:val="32"/>
          <w:szCs w:val="32"/>
          <w:highlight w:val="none"/>
          <w:u w:val="none"/>
        </w:rPr>
        <w:t>年初预算为</w:t>
      </w:r>
      <w:r>
        <w:rPr>
          <w:rFonts w:hint="eastAsia" w:ascii="仿宋_GB2312" w:hAnsi="ˎ̥" w:eastAsia="仿宋_GB2312"/>
          <w:color w:val="000000"/>
          <w:sz w:val="32"/>
          <w:szCs w:val="32"/>
          <w:highlight w:val="none"/>
          <w:u w:val="none"/>
          <w:lang w:val="en-US" w:eastAsia="zh-CN"/>
        </w:rPr>
        <w:t>1980</w:t>
      </w:r>
      <w:r>
        <w:rPr>
          <w:rFonts w:hint="eastAsia" w:ascii="仿宋_GB2312" w:hAnsi="ˎ̥" w:eastAsia="仿宋_GB2312"/>
          <w:color w:val="000000"/>
          <w:sz w:val="32"/>
          <w:szCs w:val="32"/>
          <w:highlight w:val="none"/>
          <w:u w:val="none"/>
        </w:rPr>
        <w:t>万元，支出决算为</w:t>
      </w:r>
      <w:r>
        <w:rPr>
          <w:rFonts w:hint="eastAsia" w:ascii="仿宋_GB2312" w:hAnsi="ˎ̥" w:eastAsia="仿宋_GB2312"/>
          <w:color w:val="000000"/>
          <w:sz w:val="32"/>
          <w:szCs w:val="32"/>
          <w:highlight w:val="none"/>
          <w:u w:val="none"/>
          <w:lang w:val="en-US" w:eastAsia="zh-CN"/>
        </w:rPr>
        <w:t>1980</w:t>
      </w:r>
      <w:r>
        <w:rPr>
          <w:rFonts w:hint="eastAsia" w:ascii="仿宋_GB2312" w:hAnsi="ˎ̥" w:eastAsia="仿宋_GB2312"/>
          <w:color w:val="000000"/>
          <w:sz w:val="32"/>
          <w:szCs w:val="32"/>
          <w:highlight w:val="none"/>
          <w:u w:val="none"/>
        </w:rPr>
        <w:t>万元，完成年初预算的</w:t>
      </w:r>
      <w:r>
        <w:rPr>
          <w:rFonts w:hint="eastAsia" w:ascii="仿宋_GB2312" w:hAnsi="ˎ̥" w:eastAsia="仿宋_GB2312"/>
          <w:color w:val="000000"/>
          <w:sz w:val="32"/>
          <w:szCs w:val="32"/>
          <w:highlight w:val="none"/>
          <w:u w:val="none"/>
          <w:lang w:val="en-US" w:eastAsia="zh-CN"/>
        </w:rPr>
        <w:t>100</w:t>
      </w:r>
      <w:r>
        <w:rPr>
          <w:rFonts w:hint="eastAsia" w:ascii="仿宋_GB2312" w:hAnsi="ˎ̥" w:eastAsia="仿宋_GB2312"/>
          <w:color w:val="000000"/>
          <w:sz w:val="32"/>
          <w:szCs w:val="32"/>
          <w:highlight w:val="none"/>
          <w:u w:val="none"/>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ˎ̥" w:eastAsia="仿宋_GB2312"/>
          <w:color w:val="000000"/>
          <w:sz w:val="32"/>
          <w:szCs w:val="32"/>
          <w:highlight w:val="none"/>
          <w:u w:val="none"/>
        </w:rPr>
      </w:pPr>
      <w:r>
        <w:rPr>
          <w:rFonts w:hint="eastAsia" w:ascii="仿宋_GB2312" w:hAnsi="ˎ̥" w:eastAsia="仿宋_GB2312"/>
          <w:color w:val="000000"/>
          <w:sz w:val="32"/>
          <w:szCs w:val="32"/>
          <w:highlight w:val="none"/>
          <w:u w:val="none"/>
        </w:rPr>
        <w:t>2.1.</w:t>
      </w:r>
      <w:r>
        <w:rPr>
          <w:rFonts w:hint="eastAsia" w:ascii="仿宋_GB2312" w:hAnsi="ˎ̥" w:eastAsia="仿宋_GB2312"/>
          <w:b/>
          <w:color w:val="000000"/>
          <w:sz w:val="32"/>
          <w:szCs w:val="32"/>
          <w:highlight w:val="none"/>
          <w:u w:val="none"/>
        </w:rPr>
        <w:t>社会保障和就业支出（类）行政事业单位养老支出（款）机关事业单位职业年金缴费支出（项）</w:t>
      </w:r>
      <w:r>
        <w:rPr>
          <w:rFonts w:hint="eastAsia" w:ascii="仿宋_GB2312" w:hAnsi="ˎ̥" w:eastAsia="仿宋_GB2312"/>
          <w:b/>
          <w:color w:val="000000"/>
          <w:sz w:val="32"/>
          <w:szCs w:val="32"/>
          <w:highlight w:val="none"/>
          <w:u w:val="none"/>
          <w:lang w:eastAsia="zh-CN"/>
        </w:rPr>
        <w:t>，</w:t>
      </w:r>
      <w:r>
        <w:rPr>
          <w:rFonts w:hint="eastAsia" w:ascii="仿宋_GB2312" w:hAnsi="ˎ̥" w:eastAsia="仿宋_GB2312"/>
          <w:color w:val="000000"/>
          <w:sz w:val="32"/>
          <w:szCs w:val="32"/>
          <w:highlight w:val="none"/>
          <w:u w:val="none"/>
        </w:rPr>
        <w:t>年初预算为</w:t>
      </w:r>
      <w:r>
        <w:rPr>
          <w:rFonts w:hint="eastAsia" w:ascii="仿宋_GB2312" w:hAnsi="ˎ̥" w:eastAsia="仿宋_GB2312"/>
          <w:color w:val="000000"/>
          <w:sz w:val="32"/>
          <w:szCs w:val="32"/>
          <w:highlight w:val="none"/>
          <w:u w:val="none"/>
          <w:lang w:val="en-US" w:eastAsia="zh-CN"/>
        </w:rPr>
        <w:t>990</w:t>
      </w:r>
      <w:r>
        <w:rPr>
          <w:rFonts w:hint="eastAsia" w:ascii="仿宋_GB2312" w:hAnsi="ˎ̥" w:eastAsia="仿宋_GB2312"/>
          <w:color w:val="000000"/>
          <w:sz w:val="32"/>
          <w:szCs w:val="32"/>
          <w:highlight w:val="none"/>
          <w:u w:val="none"/>
        </w:rPr>
        <w:t>万元，支出决算为</w:t>
      </w:r>
      <w:r>
        <w:rPr>
          <w:rFonts w:hint="eastAsia" w:ascii="仿宋_GB2312" w:hAnsi="ˎ̥" w:eastAsia="仿宋_GB2312"/>
          <w:color w:val="000000"/>
          <w:sz w:val="32"/>
          <w:szCs w:val="32"/>
          <w:highlight w:val="none"/>
          <w:u w:val="none"/>
          <w:lang w:val="en-US" w:eastAsia="zh-CN"/>
        </w:rPr>
        <w:t>990</w:t>
      </w:r>
      <w:r>
        <w:rPr>
          <w:rFonts w:hint="eastAsia" w:ascii="仿宋_GB2312" w:hAnsi="ˎ̥" w:eastAsia="仿宋_GB2312"/>
          <w:color w:val="000000"/>
          <w:sz w:val="32"/>
          <w:szCs w:val="32"/>
          <w:highlight w:val="none"/>
          <w:u w:val="none"/>
        </w:rPr>
        <w:t>万元，完成年初预算的</w:t>
      </w:r>
      <w:r>
        <w:rPr>
          <w:rFonts w:hint="eastAsia" w:ascii="仿宋_GB2312" w:hAnsi="ˎ̥" w:eastAsia="仿宋_GB2312"/>
          <w:color w:val="000000"/>
          <w:sz w:val="32"/>
          <w:szCs w:val="32"/>
          <w:highlight w:val="none"/>
          <w:u w:val="none"/>
          <w:lang w:val="en-US" w:eastAsia="zh-CN"/>
        </w:rPr>
        <w:t>100</w:t>
      </w:r>
      <w:r>
        <w:rPr>
          <w:rFonts w:hint="eastAsia" w:ascii="仿宋_GB2312" w:hAnsi="ˎ̥" w:eastAsia="仿宋_GB2312"/>
          <w:color w:val="000000"/>
          <w:sz w:val="32"/>
          <w:szCs w:val="32"/>
          <w:highlight w:val="none"/>
          <w:u w:val="none"/>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ˎ̥" w:eastAsia="仿宋_GB2312"/>
          <w:b/>
          <w:color w:val="000000"/>
          <w:sz w:val="32"/>
          <w:szCs w:val="32"/>
          <w:highlight w:val="none"/>
          <w:u w:val="none"/>
        </w:rPr>
      </w:pPr>
      <w:r>
        <w:rPr>
          <w:rFonts w:hint="eastAsia" w:ascii="仿宋_GB2312" w:hAnsi="ˎ̥" w:eastAsia="仿宋_GB2312"/>
          <w:color w:val="000000"/>
          <w:sz w:val="32"/>
          <w:szCs w:val="32"/>
          <w:highlight w:val="none"/>
          <w:u w:val="none"/>
          <w:lang w:val="en-US" w:eastAsia="zh-CN"/>
        </w:rPr>
        <w:t>3、卫生健康支出</w:t>
      </w:r>
      <w:r>
        <w:rPr>
          <w:rFonts w:hint="eastAsia" w:ascii="仿宋_GB2312" w:hAnsi="ˎ̥" w:eastAsia="仿宋_GB2312"/>
          <w:b/>
          <w:color w:val="000000"/>
          <w:sz w:val="32"/>
          <w:szCs w:val="32"/>
          <w:highlight w:val="none"/>
          <w:u w:val="none"/>
        </w:rPr>
        <w:t>（类）</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ˎ̥" w:eastAsia="仿宋_GB2312"/>
          <w:color w:val="000000"/>
          <w:sz w:val="32"/>
          <w:szCs w:val="32"/>
          <w:highlight w:val="none"/>
          <w:u w:val="none"/>
        </w:rPr>
      </w:pPr>
      <w:r>
        <w:rPr>
          <w:rFonts w:hint="eastAsia" w:ascii="仿宋_GB2312" w:hAnsi="ˎ̥" w:eastAsia="仿宋_GB2312"/>
          <w:color w:val="000000"/>
          <w:sz w:val="32"/>
          <w:szCs w:val="32"/>
          <w:highlight w:val="none"/>
          <w:u w:val="none"/>
        </w:rPr>
        <w:t>年初预算为</w:t>
      </w:r>
      <w:r>
        <w:rPr>
          <w:rFonts w:hint="eastAsia" w:ascii="仿宋_GB2312" w:hAnsi="ˎ̥" w:eastAsia="仿宋_GB2312"/>
          <w:color w:val="000000"/>
          <w:sz w:val="32"/>
          <w:szCs w:val="32"/>
          <w:highlight w:val="none"/>
          <w:u w:val="none"/>
          <w:lang w:val="en-US" w:eastAsia="zh-CN"/>
        </w:rPr>
        <w:t>3060</w:t>
      </w:r>
      <w:r>
        <w:rPr>
          <w:rFonts w:hint="eastAsia" w:ascii="仿宋_GB2312" w:hAnsi="ˎ̥" w:eastAsia="仿宋_GB2312"/>
          <w:color w:val="000000"/>
          <w:sz w:val="32"/>
          <w:szCs w:val="32"/>
          <w:highlight w:val="none"/>
          <w:u w:val="none"/>
        </w:rPr>
        <w:t>万元，支出决算为</w:t>
      </w:r>
      <w:r>
        <w:rPr>
          <w:rFonts w:hint="eastAsia" w:ascii="仿宋_GB2312" w:hAnsi="ˎ̥" w:eastAsia="仿宋_GB2312"/>
          <w:color w:val="000000"/>
          <w:sz w:val="32"/>
          <w:szCs w:val="32"/>
          <w:highlight w:val="none"/>
          <w:u w:val="none"/>
          <w:lang w:val="en-US" w:eastAsia="zh-CN"/>
        </w:rPr>
        <w:t>17326.56</w:t>
      </w:r>
      <w:r>
        <w:rPr>
          <w:rFonts w:hint="eastAsia" w:ascii="仿宋_GB2312" w:hAnsi="ˎ̥" w:eastAsia="仿宋_GB2312"/>
          <w:color w:val="000000"/>
          <w:sz w:val="32"/>
          <w:szCs w:val="32"/>
          <w:highlight w:val="none"/>
          <w:u w:val="none"/>
        </w:rPr>
        <w:t>万元，完成年初预算的</w:t>
      </w:r>
      <w:r>
        <w:rPr>
          <w:rFonts w:hint="eastAsia" w:ascii="仿宋_GB2312" w:hAnsi="ˎ̥" w:eastAsia="仿宋_GB2312"/>
          <w:color w:val="000000"/>
          <w:sz w:val="32"/>
          <w:szCs w:val="32"/>
          <w:highlight w:val="none"/>
          <w:u w:val="none"/>
          <w:lang w:val="en-US" w:eastAsia="zh-CN"/>
        </w:rPr>
        <w:t>566.23</w:t>
      </w:r>
      <w:r>
        <w:rPr>
          <w:rFonts w:hint="eastAsia" w:ascii="仿宋_GB2312" w:hAnsi="ˎ̥" w:eastAsia="仿宋_GB2312"/>
          <w:color w:val="000000"/>
          <w:sz w:val="32"/>
          <w:szCs w:val="32"/>
          <w:highlight w:val="none"/>
          <w:u w:val="none"/>
        </w:rPr>
        <w:t>%。</w:t>
      </w:r>
    </w:p>
    <w:p>
      <w:pPr>
        <w:keepNext w:val="0"/>
        <w:keepLines w:val="0"/>
        <w:pageBreakBefore w:val="0"/>
        <w:kinsoku/>
        <w:wordWrap/>
        <w:overflowPunct/>
        <w:topLinePunct w:val="0"/>
        <w:autoSpaceDE/>
        <w:autoSpaceDN/>
        <w:bidi w:val="0"/>
        <w:adjustRightInd/>
        <w:snapToGrid/>
        <w:spacing w:line="560" w:lineRule="exact"/>
        <w:ind w:firstLine="627" w:firstLineChars="196"/>
        <w:textAlignment w:val="auto"/>
        <w:rPr>
          <w:rFonts w:hint="eastAsia" w:ascii="黑体" w:hAnsi="黑体" w:eastAsia="黑体" w:cs="黑体"/>
          <w:color w:val="000000"/>
          <w:sz w:val="32"/>
          <w:szCs w:val="32"/>
          <w:highlight w:val="none"/>
          <w:u w:val="none"/>
        </w:rPr>
      </w:pPr>
      <w:r>
        <w:rPr>
          <w:rFonts w:hint="eastAsia" w:ascii="黑体" w:hAnsi="黑体" w:eastAsia="黑体" w:cs="黑体"/>
          <w:bCs/>
          <w:color w:val="000000"/>
          <w:sz w:val="32"/>
          <w:szCs w:val="32"/>
          <w:highlight w:val="none"/>
          <w:u w:val="none"/>
        </w:rPr>
        <w:t>六、一般公共预算财政拨款基本支出决算情况说明</w:t>
      </w:r>
    </w:p>
    <w:p>
      <w:pPr>
        <w:keepNext w:val="0"/>
        <w:keepLines w:val="0"/>
        <w:pageBreakBefore w:val="0"/>
        <w:tabs>
          <w:tab w:val="center" w:pos="4473"/>
        </w:tabs>
        <w:kinsoku/>
        <w:wordWrap/>
        <w:overflowPunct/>
        <w:topLinePunct w:val="0"/>
        <w:autoSpaceDE/>
        <w:autoSpaceDN/>
        <w:bidi w:val="0"/>
        <w:adjustRightInd/>
        <w:snapToGrid/>
        <w:spacing w:line="560" w:lineRule="exact"/>
        <w:ind w:firstLine="640" w:firstLineChars="200"/>
        <w:textAlignment w:val="auto"/>
        <w:rPr>
          <w:rFonts w:hint="eastAsia" w:ascii="仿宋_GB2312" w:hAnsi="ˎ̥" w:eastAsia="仿宋_GB2312"/>
          <w:color w:val="000000"/>
          <w:sz w:val="32"/>
          <w:szCs w:val="32"/>
          <w:highlight w:val="none"/>
          <w:u w:val="none"/>
        </w:rPr>
      </w:pPr>
      <w:r>
        <w:rPr>
          <w:rFonts w:hint="eastAsia" w:ascii="仿宋_GB2312" w:hAnsi="ˎ̥" w:eastAsia="仿宋_GB2312"/>
          <w:color w:val="000000"/>
          <w:sz w:val="32"/>
          <w:szCs w:val="32"/>
          <w:highlight w:val="none"/>
          <w:u w:val="none"/>
        </w:rPr>
        <w:t>2022年度财政拨款基本支出</w:t>
      </w:r>
      <w:r>
        <w:rPr>
          <w:rFonts w:hint="eastAsia" w:ascii="仿宋_GB2312" w:hAnsi="ˎ̥" w:eastAsia="仿宋_GB2312"/>
          <w:color w:val="000000"/>
          <w:sz w:val="32"/>
          <w:szCs w:val="32"/>
          <w:highlight w:val="none"/>
          <w:u w:val="none"/>
          <w:lang w:val="en-US" w:eastAsia="zh-CN"/>
        </w:rPr>
        <w:t>0</w:t>
      </w:r>
      <w:r>
        <w:rPr>
          <w:rFonts w:hint="eastAsia" w:ascii="仿宋_GB2312" w:hAnsi="ˎ̥" w:eastAsia="仿宋_GB2312"/>
          <w:color w:val="000000"/>
          <w:sz w:val="32"/>
          <w:szCs w:val="32"/>
          <w:highlight w:val="none"/>
          <w:u w:val="none"/>
        </w:rPr>
        <w:t>万元，其中：人员经费</w:t>
      </w:r>
      <w:r>
        <w:rPr>
          <w:rFonts w:hint="eastAsia" w:ascii="仿宋_GB2312" w:hAnsi="ˎ̥" w:eastAsia="仿宋_GB2312"/>
          <w:color w:val="000000"/>
          <w:sz w:val="32"/>
          <w:szCs w:val="32"/>
          <w:highlight w:val="none"/>
          <w:u w:val="none"/>
          <w:lang w:val="en-US" w:eastAsia="zh-CN"/>
        </w:rPr>
        <w:t>0</w:t>
      </w:r>
      <w:r>
        <w:rPr>
          <w:rFonts w:hint="eastAsia" w:ascii="仿宋_GB2312" w:hAnsi="ˎ̥" w:eastAsia="仿宋_GB2312"/>
          <w:color w:val="000000"/>
          <w:sz w:val="32"/>
          <w:szCs w:val="32"/>
          <w:highlight w:val="none"/>
          <w:u w:val="none"/>
        </w:rPr>
        <w:t>万元，主要包括：工资福利支出中的基本工资、津贴补贴、奖金、伙食补助费、绩效工资、机关事业单位基本养老保险缴费、职业年金缴费、职工基本医疗保险缴费、公务员医疗补助缴费、其他社会保障缴费、住房公积金、医疗费、其他工资福利支出；对个人和家庭的补助中的离休费、退休费、退职（役）费、抚恤金、生活补助、救济费、医疗费补助、助学金、奖励金、个人农业生产补贴、代缴社会保险费、其他对个人和家庭的补助。公用经费</w:t>
      </w:r>
      <w:r>
        <w:rPr>
          <w:rFonts w:hint="eastAsia" w:ascii="仿宋_GB2312" w:hAnsi="ˎ̥" w:eastAsia="仿宋_GB2312"/>
          <w:color w:val="000000"/>
          <w:sz w:val="32"/>
          <w:szCs w:val="32"/>
          <w:highlight w:val="none"/>
          <w:u w:val="none"/>
          <w:lang w:val="en-US" w:eastAsia="zh-CN"/>
        </w:rPr>
        <w:t>0</w:t>
      </w:r>
      <w:r>
        <w:rPr>
          <w:rFonts w:hint="eastAsia" w:ascii="仿宋_GB2312" w:hAnsi="ˎ̥" w:eastAsia="仿宋_GB2312"/>
          <w:color w:val="000000"/>
          <w:sz w:val="32"/>
          <w:szCs w:val="32"/>
          <w:highlight w:val="none"/>
          <w:u w:val="none"/>
        </w:rPr>
        <w:t>万元，主要包括：商品和服务支出中的办公费、印刷费、咨询费、手续费、水费、电费、邮电费、取暖费、物业管理费、差旅费、因公出国（境）费用、维修（护）费、租赁费、会议费、培训费、公务接待费、专用材料费、被装购置费、专用燃料费、劳务费、委托业务费、工会经费、福利费、公务用车运行维护费、其他交通费用、税金及附加费用、其他商品和服务支出；债务利息及费用支出中的国内债务付息及国外债务付息；资本性支出中的房屋建筑物构建、办公设备购置、专用设备购置、基础设施建设、大型修缮、信息网络及软件购置更新、物资储备、土地补偿、安置补助、地上附着物和青苗补偿、拆迁补偿、公务用车购置、其他交通工具购置、文物和陈列品购置、无形资产购置、其他资本性支出等；其他支出中的国家赔偿费用支出、对民间非营利组织和群众性自治组织补贴</w:t>
      </w:r>
      <w:r>
        <w:rPr>
          <w:rFonts w:hint="eastAsia" w:ascii="仿宋_GB2312" w:hAnsi="ˎ̥" w:eastAsia="仿宋_GB2312"/>
          <w:color w:val="000000"/>
          <w:sz w:val="32"/>
          <w:szCs w:val="32"/>
          <w:highlight w:val="none"/>
          <w:u w:val="none"/>
          <w:lang w:eastAsia="zh-CN"/>
        </w:rPr>
        <w:t>、经常性</w:t>
      </w:r>
      <w:r>
        <w:rPr>
          <w:rFonts w:hint="eastAsia" w:ascii="仿宋_GB2312" w:hAnsi="ˎ̥" w:eastAsia="仿宋_GB2312"/>
          <w:color w:val="000000"/>
          <w:sz w:val="32"/>
          <w:szCs w:val="32"/>
          <w:highlight w:val="none"/>
          <w:u w:val="none"/>
        </w:rPr>
        <w:t>赠予、</w:t>
      </w:r>
      <w:r>
        <w:rPr>
          <w:rFonts w:hint="eastAsia" w:ascii="仿宋_GB2312" w:hAnsi="ˎ̥" w:eastAsia="仿宋_GB2312"/>
          <w:color w:val="000000"/>
          <w:sz w:val="32"/>
          <w:szCs w:val="32"/>
          <w:highlight w:val="none"/>
          <w:u w:val="none"/>
          <w:lang w:eastAsia="zh-CN"/>
        </w:rPr>
        <w:t>资本性赠予</w:t>
      </w:r>
      <w:r>
        <w:rPr>
          <w:rFonts w:hint="eastAsia" w:ascii="仿宋_GB2312" w:hAnsi="ˎ̥" w:eastAsia="仿宋_GB2312"/>
          <w:color w:val="000000"/>
          <w:sz w:val="32"/>
          <w:szCs w:val="32"/>
          <w:highlight w:val="none"/>
          <w:u w:val="none"/>
        </w:rPr>
        <w:t>和其他支出。</w:t>
      </w:r>
    </w:p>
    <w:p>
      <w:pPr>
        <w:keepNext w:val="0"/>
        <w:keepLines w:val="0"/>
        <w:pageBreakBefore w:val="0"/>
        <w:tabs>
          <w:tab w:val="center" w:pos="4473"/>
        </w:tabs>
        <w:kinsoku/>
        <w:wordWrap/>
        <w:overflowPunct/>
        <w:topLinePunct w:val="0"/>
        <w:autoSpaceDE/>
        <w:autoSpaceDN/>
        <w:bidi w:val="0"/>
        <w:adjustRightInd/>
        <w:snapToGrid/>
        <w:spacing w:line="560" w:lineRule="exact"/>
        <w:ind w:firstLine="627" w:firstLineChars="196"/>
        <w:textAlignment w:val="auto"/>
        <w:rPr>
          <w:rFonts w:hint="eastAsia" w:ascii="黑体" w:hAnsi="黑体" w:eastAsia="黑体" w:cs="黑体"/>
          <w:bCs/>
          <w:color w:val="000000"/>
          <w:sz w:val="32"/>
          <w:szCs w:val="32"/>
          <w:highlight w:val="none"/>
          <w:u w:val="none"/>
        </w:rPr>
      </w:pPr>
      <w:r>
        <w:rPr>
          <w:rFonts w:hint="eastAsia" w:ascii="黑体" w:hAnsi="黑体" w:eastAsia="黑体" w:cs="黑体"/>
          <w:bCs/>
          <w:color w:val="000000"/>
          <w:sz w:val="32"/>
          <w:szCs w:val="32"/>
          <w:highlight w:val="none"/>
          <w:u w:val="none"/>
        </w:rPr>
        <w:t>七、政府性基金预算财政拨款支出决算情况说明</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color w:val="000000"/>
          <w:sz w:val="32"/>
          <w:szCs w:val="32"/>
          <w:highlight w:val="none"/>
          <w:u w:val="none"/>
        </w:rPr>
      </w:pPr>
      <w:r>
        <w:rPr>
          <w:rFonts w:hint="eastAsia" w:ascii="楷体" w:hAnsi="楷体" w:eastAsia="楷体" w:cs="楷体"/>
          <w:color w:val="000000"/>
          <w:sz w:val="32"/>
          <w:szCs w:val="32"/>
          <w:highlight w:val="none"/>
          <w:u w:val="none"/>
        </w:rPr>
        <w:t>（一）政府性基金预算财政拨款支出决算总体情况。</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ˎ̥" w:eastAsia="仿宋_GB2312"/>
          <w:color w:val="000000"/>
          <w:sz w:val="32"/>
          <w:szCs w:val="32"/>
          <w:highlight w:val="none"/>
          <w:u w:val="none"/>
        </w:rPr>
      </w:pPr>
      <w:r>
        <w:rPr>
          <w:rFonts w:hint="eastAsia" w:ascii="仿宋_GB2312" w:hAnsi="ˎ̥" w:eastAsia="仿宋_GB2312"/>
          <w:color w:val="000000"/>
          <w:sz w:val="32"/>
          <w:szCs w:val="32"/>
          <w:highlight w:val="none"/>
          <w:u w:val="none"/>
        </w:rPr>
        <w:t>2022年度政府性基金预算财政拨款支出</w:t>
      </w:r>
      <w:r>
        <w:rPr>
          <w:rFonts w:hint="eastAsia" w:ascii="仿宋_GB2312" w:hAnsi="ˎ̥" w:eastAsia="仿宋_GB2312"/>
          <w:color w:val="000000"/>
          <w:sz w:val="32"/>
          <w:szCs w:val="32"/>
          <w:highlight w:val="none"/>
          <w:u w:val="none"/>
          <w:lang w:val="en-US" w:eastAsia="zh-CN"/>
        </w:rPr>
        <w:t>18598.36</w:t>
      </w:r>
      <w:r>
        <w:rPr>
          <w:rFonts w:hint="eastAsia" w:ascii="仿宋_GB2312" w:hAnsi="ˎ̥" w:eastAsia="仿宋_GB2312"/>
          <w:color w:val="000000"/>
          <w:sz w:val="32"/>
          <w:szCs w:val="32"/>
          <w:highlight w:val="none"/>
          <w:u w:val="none"/>
        </w:rPr>
        <w:t>万元，占本年支出合计的</w:t>
      </w:r>
      <w:r>
        <w:rPr>
          <w:rFonts w:hint="eastAsia" w:ascii="仿宋_GB2312" w:hAnsi="ˎ̥" w:eastAsia="仿宋_GB2312"/>
          <w:color w:val="000000"/>
          <w:sz w:val="32"/>
          <w:szCs w:val="32"/>
          <w:highlight w:val="none"/>
          <w:u w:val="none"/>
          <w:lang w:val="en-US" w:eastAsia="zh-CN"/>
        </w:rPr>
        <w:t>16.22</w:t>
      </w:r>
      <w:r>
        <w:rPr>
          <w:rFonts w:hint="eastAsia" w:ascii="仿宋_GB2312" w:hAnsi="ˎ̥" w:eastAsia="仿宋_GB2312"/>
          <w:color w:val="000000"/>
          <w:sz w:val="32"/>
          <w:szCs w:val="32"/>
          <w:highlight w:val="none"/>
          <w:u w:val="none"/>
        </w:rPr>
        <w:t>%。与2021年度相比，政府性基金预算财政拨款支出增加</w:t>
      </w:r>
      <w:r>
        <w:rPr>
          <w:rFonts w:hint="eastAsia" w:ascii="仿宋_GB2312" w:hAnsi="ˎ̥" w:eastAsia="仿宋_GB2312"/>
          <w:color w:val="000000"/>
          <w:sz w:val="32"/>
          <w:szCs w:val="32"/>
          <w:highlight w:val="none"/>
          <w:u w:val="none"/>
          <w:lang w:val="en-US" w:eastAsia="zh-CN"/>
        </w:rPr>
        <w:t>5157.07</w:t>
      </w:r>
      <w:r>
        <w:rPr>
          <w:rFonts w:hint="eastAsia" w:ascii="仿宋_GB2312" w:hAnsi="ˎ̥" w:eastAsia="仿宋_GB2312"/>
          <w:color w:val="000000"/>
          <w:sz w:val="32"/>
          <w:szCs w:val="32"/>
          <w:highlight w:val="none"/>
          <w:u w:val="none"/>
        </w:rPr>
        <w:t>万元，增长</w:t>
      </w:r>
      <w:r>
        <w:rPr>
          <w:rFonts w:hint="eastAsia" w:ascii="仿宋_GB2312" w:hAnsi="ˎ̥" w:eastAsia="仿宋_GB2312"/>
          <w:color w:val="000000"/>
          <w:sz w:val="32"/>
          <w:szCs w:val="32"/>
          <w:highlight w:val="none"/>
          <w:u w:val="none"/>
          <w:lang w:val="en-US" w:eastAsia="zh-CN"/>
        </w:rPr>
        <w:t>38.37</w:t>
      </w:r>
      <w:r>
        <w:rPr>
          <w:rFonts w:hint="eastAsia" w:ascii="仿宋_GB2312" w:hAnsi="ˎ̥" w:eastAsia="仿宋_GB2312"/>
          <w:color w:val="000000"/>
          <w:sz w:val="32"/>
          <w:szCs w:val="32"/>
          <w:highlight w:val="none"/>
          <w:u w:val="none"/>
        </w:rPr>
        <w:t>%，主要原因是</w:t>
      </w:r>
      <w:r>
        <w:rPr>
          <w:rFonts w:hint="eastAsia" w:ascii="仿宋_GB2312" w:hAnsi="ˎ̥" w:eastAsia="仿宋_GB2312"/>
          <w:color w:val="000000"/>
          <w:sz w:val="32"/>
          <w:szCs w:val="32"/>
          <w:highlight w:val="none"/>
          <w:u w:val="none"/>
          <w:lang w:val="en-US" w:eastAsia="zh-CN"/>
        </w:rPr>
        <w:t>2022年增加了</w:t>
      </w:r>
      <w:r>
        <w:rPr>
          <w:rFonts w:hint="eastAsia" w:ascii="仿宋_GB2312" w:hAnsi="ˎ̥" w:eastAsia="仿宋_GB2312"/>
          <w:color w:val="000000"/>
          <w:sz w:val="32"/>
          <w:szCs w:val="32"/>
          <w:highlight w:val="none"/>
          <w:u w:val="none"/>
        </w:rPr>
        <w:t>其他地方自行试点项目收益专项债券收入安排的支出</w:t>
      </w:r>
      <w:r>
        <w:rPr>
          <w:rFonts w:hint="eastAsia" w:ascii="仿宋_GB2312" w:hAnsi="ˎ̥" w:eastAsia="仿宋_GB2312"/>
          <w:color w:val="000000"/>
          <w:sz w:val="32"/>
          <w:szCs w:val="32"/>
          <w:highlight w:val="none"/>
          <w:u w:val="none"/>
          <w:lang w:eastAsia="zh-CN"/>
        </w:rPr>
        <w:t>，主要用于新建二期门诊综合大楼建设项目</w:t>
      </w:r>
      <w:r>
        <w:rPr>
          <w:rFonts w:hint="eastAsia" w:ascii="仿宋_GB2312" w:hAnsi="ˎ̥" w:eastAsia="仿宋_GB2312"/>
          <w:color w:val="000000"/>
          <w:sz w:val="32"/>
          <w:szCs w:val="32"/>
          <w:highlight w:val="none"/>
          <w:u w:val="none"/>
          <w:lang w:val="en-US" w:eastAsia="zh-CN"/>
        </w:rPr>
        <w:t>1684.01万元，新建二期综合楼医疗设备采购项目11153.37万元，三亚中心医院高端CT等医疗设备采购项目5748.58万元，三亚市中心医院改扩建项目12.40万元</w:t>
      </w:r>
      <w:r>
        <w:rPr>
          <w:rFonts w:hint="eastAsia" w:ascii="仿宋_GB2312" w:hAnsi="ˎ̥" w:eastAsia="仿宋_GB2312"/>
          <w:color w:val="000000"/>
          <w:sz w:val="32"/>
          <w:szCs w:val="32"/>
          <w:highlight w:val="none"/>
          <w:u w:val="none"/>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color w:val="000000"/>
          <w:sz w:val="32"/>
          <w:szCs w:val="32"/>
          <w:highlight w:val="none"/>
          <w:u w:val="none"/>
        </w:rPr>
      </w:pPr>
      <w:r>
        <w:rPr>
          <w:rFonts w:hint="eastAsia" w:ascii="楷体" w:hAnsi="楷体" w:eastAsia="楷体" w:cs="楷体"/>
          <w:color w:val="000000"/>
          <w:sz w:val="32"/>
          <w:szCs w:val="32"/>
          <w:highlight w:val="none"/>
          <w:u w:val="none"/>
        </w:rPr>
        <w:t>（二）政府性基金预算财政拨款支出决算结构情况。</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ˎ̥" w:eastAsia="仿宋_GB2312"/>
          <w:color w:val="000000"/>
          <w:sz w:val="32"/>
          <w:szCs w:val="32"/>
          <w:highlight w:val="none"/>
          <w:u w:val="none"/>
        </w:rPr>
      </w:pPr>
      <w:r>
        <w:rPr>
          <w:rFonts w:hint="eastAsia" w:ascii="仿宋_GB2312" w:hAnsi="ˎ̥" w:eastAsia="仿宋_GB2312"/>
          <w:color w:val="000000"/>
          <w:sz w:val="32"/>
          <w:szCs w:val="32"/>
          <w:highlight w:val="none"/>
          <w:u w:val="none"/>
        </w:rPr>
        <w:t>2022年度政府性基金预算财政拨款支出</w:t>
      </w:r>
      <w:r>
        <w:rPr>
          <w:rFonts w:hint="eastAsia" w:ascii="仿宋_GB2312" w:hAnsi="ˎ̥" w:eastAsia="仿宋_GB2312"/>
          <w:color w:val="000000"/>
          <w:sz w:val="32"/>
          <w:szCs w:val="32"/>
          <w:highlight w:val="none"/>
          <w:u w:val="none"/>
          <w:lang w:val="en-US" w:eastAsia="zh-CN"/>
        </w:rPr>
        <w:t>18598.36</w:t>
      </w:r>
      <w:r>
        <w:rPr>
          <w:rFonts w:hint="eastAsia" w:ascii="仿宋_GB2312" w:hAnsi="ˎ̥" w:eastAsia="仿宋_GB2312"/>
          <w:color w:val="000000"/>
          <w:sz w:val="32"/>
          <w:szCs w:val="32"/>
          <w:highlight w:val="none"/>
          <w:u w:val="none"/>
        </w:rPr>
        <w:t>万元，主要用于以下方面：其他支出</w:t>
      </w:r>
      <w:r>
        <w:rPr>
          <w:rFonts w:hint="eastAsia" w:ascii="仿宋_GB2312" w:hAnsi="ˎ̥" w:eastAsia="仿宋_GB2312"/>
          <w:b/>
          <w:color w:val="000000"/>
          <w:sz w:val="32"/>
          <w:szCs w:val="32"/>
          <w:highlight w:val="none"/>
          <w:u w:val="none"/>
        </w:rPr>
        <w:t>（类）</w:t>
      </w:r>
      <w:r>
        <w:rPr>
          <w:rFonts w:hint="eastAsia" w:ascii="仿宋_GB2312" w:hAnsi="ˎ̥" w:eastAsia="仿宋_GB2312"/>
          <w:b w:val="0"/>
          <w:bCs/>
          <w:color w:val="000000"/>
          <w:sz w:val="32"/>
          <w:szCs w:val="32"/>
          <w:highlight w:val="none"/>
          <w:u w:val="none"/>
        </w:rPr>
        <w:t>其他政府性基金及对应专项债务收入安排的支出</w:t>
      </w:r>
      <w:r>
        <w:rPr>
          <w:rFonts w:hint="eastAsia" w:ascii="仿宋_GB2312" w:hAnsi="ˎ̥" w:eastAsia="仿宋_GB2312"/>
          <w:b w:val="0"/>
          <w:bCs/>
          <w:color w:val="000000"/>
          <w:sz w:val="32"/>
          <w:szCs w:val="32"/>
          <w:highlight w:val="none"/>
          <w:u w:val="none"/>
          <w:lang w:eastAsia="zh-CN"/>
        </w:rPr>
        <w:t>（款）</w:t>
      </w:r>
      <w:r>
        <w:rPr>
          <w:rFonts w:hint="eastAsia" w:ascii="仿宋_GB2312" w:hAnsi="ˎ̥" w:eastAsia="仿宋_GB2312"/>
          <w:color w:val="000000"/>
          <w:sz w:val="32"/>
          <w:szCs w:val="32"/>
          <w:highlight w:val="none"/>
          <w:u w:val="none"/>
        </w:rPr>
        <w:t>其他地方自行试点项目收益专项债券收入安排的支出</w:t>
      </w:r>
      <w:r>
        <w:rPr>
          <w:rFonts w:hint="eastAsia" w:ascii="仿宋_GB2312" w:hAnsi="ˎ̥" w:eastAsia="仿宋_GB2312"/>
          <w:color w:val="000000"/>
          <w:sz w:val="32"/>
          <w:szCs w:val="32"/>
          <w:highlight w:val="none"/>
          <w:u w:val="none"/>
          <w:lang w:eastAsia="zh-CN"/>
        </w:rPr>
        <w:t>（项）</w:t>
      </w:r>
      <w:r>
        <w:rPr>
          <w:rFonts w:hint="eastAsia" w:ascii="仿宋_GB2312" w:hAnsi="ˎ̥" w:eastAsia="仿宋_GB2312"/>
          <w:color w:val="000000"/>
          <w:sz w:val="32"/>
          <w:szCs w:val="32"/>
          <w:highlight w:val="none"/>
          <w:u w:val="none"/>
        </w:rPr>
        <w:t>支出</w:t>
      </w:r>
      <w:r>
        <w:rPr>
          <w:rFonts w:hint="eastAsia" w:ascii="仿宋_GB2312" w:hAnsi="ˎ̥" w:eastAsia="仿宋_GB2312"/>
          <w:color w:val="000000"/>
          <w:sz w:val="32"/>
          <w:szCs w:val="32"/>
          <w:highlight w:val="none"/>
          <w:u w:val="none"/>
          <w:lang w:val="en-US" w:eastAsia="zh-CN"/>
        </w:rPr>
        <w:t>18598.36</w:t>
      </w:r>
      <w:r>
        <w:rPr>
          <w:rFonts w:hint="eastAsia" w:ascii="仿宋_GB2312" w:hAnsi="ˎ̥" w:eastAsia="仿宋_GB2312"/>
          <w:color w:val="000000"/>
          <w:sz w:val="32"/>
          <w:szCs w:val="32"/>
          <w:highlight w:val="none"/>
          <w:u w:val="none"/>
        </w:rPr>
        <w:t>万元，占</w:t>
      </w:r>
      <w:r>
        <w:rPr>
          <w:rFonts w:hint="eastAsia" w:ascii="仿宋_GB2312" w:hAnsi="ˎ̥" w:eastAsia="仿宋_GB2312"/>
          <w:color w:val="000000"/>
          <w:sz w:val="32"/>
          <w:szCs w:val="32"/>
          <w:highlight w:val="none"/>
          <w:u w:val="none"/>
          <w:lang w:val="en-US" w:eastAsia="zh-CN"/>
        </w:rPr>
        <w:t>100</w:t>
      </w:r>
      <w:r>
        <w:rPr>
          <w:rFonts w:hint="eastAsia" w:ascii="仿宋_GB2312" w:hAnsi="ˎ̥" w:eastAsia="仿宋_GB2312"/>
          <w:color w:val="000000"/>
          <w:sz w:val="32"/>
          <w:szCs w:val="32"/>
          <w:highlight w:val="none"/>
          <w:u w:val="none"/>
        </w:rPr>
        <w:t>%</w:t>
      </w:r>
      <w:r>
        <w:rPr>
          <w:rFonts w:hint="eastAsia" w:ascii="仿宋_GB2312" w:hAnsi="ˎ̥" w:eastAsia="仿宋_GB2312"/>
          <w:color w:val="000000"/>
          <w:sz w:val="32"/>
          <w:szCs w:val="32"/>
          <w:highlight w:val="none"/>
          <w:u w:val="none"/>
          <w:lang w:eastAsia="zh-CN"/>
        </w:rPr>
        <w:t>，</w:t>
      </w:r>
      <w:r>
        <w:rPr>
          <w:rFonts w:hint="eastAsia" w:ascii="仿宋_GB2312" w:hAnsi="ˎ̥" w:eastAsia="仿宋_GB2312"/>
          <w:color w:val="000000"/>
          <w:sz w:val="32"/>
          <w:szCs w:val="32"/>
          <w:highlight w:val="none"/>
          <w:u w:val="none"/>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color w:val="000000"/>
          <w:sz w:val="32"/>
          <w:szCs w:val="32"/>
          <w:highlight w:val="none"/>
          <w:u w:val="none"/>
        </w:rPr>
      </w:pPr>
      <w:r>
        <w:rPr>
          <w:rFonts w:hint="eastAsia" w:ascii="楷体" w:hAnsi="楷体" w:eastAsia="楷体" w:cs="楷体"/>
          <w:color w:val="000000"/>
          <w:sz w:val="32"/>
          <w:szCs w:val="32"/>
          <w:highlight w:val="none"/>
          <w:u w:val="none"/>
        </w:rPr>
        <w:t>（三）政府性基金预算财政拨款支出决算具体情况。</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ˎ̥" w:eastAsia="仿宋_GB2312"/>
          <w:color w:val="000000"/>
          <w:sz w:val="32"/>
          <w:szCs w:val="32"/>
          <w:highlight w:val="none"/>
          <w:u w:val="none"/>
        </w:rPr>
      </w:pPr>
      <w:r>
        <w:rPr>
          <w:rFonts w:hint="eastAsia" w:ascii="仿宋_GB2312" w:hAnsi="ˎ̥" w:eastAsia="仿宋_GB2312"/>
          <w:color w:val="000000"/>
          <w:sz w:val="32"/>
          <w:szCs w:val="32"/>
          <w:highlight w:val="none"/>
          <w:u w:val="none"/>
        </w:rPr>
        <w:t>2022年度政府性基金预算财政拨款支出年初预算为</w:t>
      </w:r>
      <w:r>
        <w:rPr>
          <w:rFonts w:hint="eastAsia" w:ascii="仿宋_GB2312" w:hAnsi="ˎ̥" w:eastAsia="仿宋_GB2312"/>
          <w:color w:val="000000"/>
          <w:sz w:val="32"/>
          <w:szCs w:val="32"/>
          <w:highlight w:val="none"/>
          <w:u w:val="none"/>
          <w:lang w:val="en-US" w:eastAsia="zh-CN"/>
        </w:rPr>
        <w:t>0</w:t>
      </w:r>
      <w:r>
        <w:rPr>
          <w:rFonts w:hint="eastAsia" w:ascii="仿宋_GB2312" w:hAnsi="ˎ̥" w:eastAsia="仿宋_GB2312"/>
          <w:color w:val="000000"/>
          <w:sz w:val="32"/>
          <w:szCs w:val="32"/>
          <w:highlight w:val="none"/>
          <w:u w:val="none"/>
        </w:rPr>
        <w:t>万元，支出决算为</w:t>
      </w:r>
      <w:r>
        <w:rPr>
          <w:rFonts w:hint="eastAsia" w:ascii="仿宋_GB2312" w:hAnsi="ˎ̥" w:eastAsia="仿宋_GB2312"/>
          <w:color w:val="000000"/>
          <w:sz w:val="32"/>
          <w:szCs w:val="32"/>
          <w:highlight w:val="none"/>
          <w:u w:val="none"/>
          <w:lang w:val="en-US" w:eastAsia="zh-CN"/>
        </w:rPr>
        <w:t>18598.36</w:t>
      </w:r>
      <w:r>
        <w:rPr>
          <w:rFonts w:hint="eastAsia" w:ascii="仿宋_GB2312" w:hAnsi="ˎ̥" w:eastAsia="仿宋_GB2312"/>
          <w:color w:val="000000"/>
          <w:sz w:val="32"/>
          <w:szCs w:val="32"/>
          <w:highlight w:val="none"/>
          <w:u w:val="none"/>
        </w:rPr>
        <w:t>万元，完成年初预算的</w:t>
      </w:r>
      <w:r>
        <w:rPr>
          <w:rFonts w:hint="eastAsia" w:ascii="仿宋_GB2312" w:hAnsi="ˎ̥" w:eastAsia="仿宋_GB2312"/>
          <w:color w:val="000000"/>
          <w:sz w:val="32"/>
          <w:szCs w:val="32"/>
          <w:highlight w:val="none"/>
          <w:u w:val="none"/>
          <w:lang w:val="en-US" w:eastAsia="zh-CN"/>
        </w:rPr>
        <w:t>100</w:t>
      </w:r>
      <w:r>
        <w:rPr>
          <w:rFonts w:hint="eastAsia" w:ascii="仿宋_GB2312" w:hAnsi="ˎ̥" w:eastAsia="仿宋_GB2312"/>
          <w:color w:val="000000"/>
          <w:sz w:val="32"/>
          <w:szCs w:val="32"/>
          <w:highlight w:val="none"/>
          <w:u w:val="none"/>
        </w:rPr>
        <w:t>%。其中：</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ˎ̥" w:eastAsia="仿宋_GB2312"/>
          <w:color w:val="000000"/>
          <w:sz w:val="32"/>
          <w:szCs w:val="32"/>
          <w:highlight w:val="none"/>
          <w:u w:val="none"/>
        </w:rPr>
      </w:pPr>
      <w:r>
        <w:rPr>
          <w:rFonts w:hint="eastAsia" w:ascii="仿宋_GB2312" w:hAnsi="ˎ̥" w:eastAsia="仿宋_GB2312"/>
          <w:color w:val="000000"/>
          <w:sz w:val="32"/>
          <w:szCs w:val="32"/>
          <w:highlight w:val="none"/>
          <w:u w:val="none"/>
        </w:rPr>
        <w:t>1.其他支出</w:t>
      </w:r>
      <w:r>
        <w:rPr>
          <w:rFonts w:hint="eastAsia" w:ascii="仿宋_GB2312" w:hAnsi="ˎ̥" w:eastAsia="仿宋_GB2312"/>
          <w:b/>
          <w:color w:val="000000"/>
          <w:sz w:val="32"/>
          <w:szCs w:val="32"/>
          <w:highlight w:val="none"/>
          <w:u w:val="none"/>
        </w:rPr>
        <w:t>（类）</w:t>
      </w:r>
      <w:r>
        <w:rPr>
          <w:rFonts w:hint="eastAsia" w:ascii="仿宋_GB2312" w:hAnsi="ˎ̥" w:eastAsia="仿宋_GB2312"/>
          <w:b w:val="0"/>
          <w:bCs/>
          <w:color w:val="000000"/>
          <w:sz w:val="32"/>
          <w:szCs w:val="32"/>
          <w:highlight w:val="none"/>
          <w:u w:val="none"/>
        </w:rPr>
        <w:t>其他政府性基金及对应专项债务收入安排的支出</w:t>
      </w:r>
      <w:r>
        <w:rPr>
          <w:rFonts w:hint="eastAsia" w:ascii="仿宋_GB2312" w:hAnsi="ˎ̥" w:eastAsia="仿宋_GB2312"/>
          <w:b/>
          <w:color w:val="000000"/>
          <w:sz w:val="32"/>
          <w:szCs w:val="32"/>
          <w:highlight w:val="none"/>
          <w:u w:val="none"/>
        </w:rPr>
        <w:t>（款）</w:t>
      </w:r>
      <w:r>
        <w:rPr>
          <w:rFonts w:hint="eastAsia" w:ascii="仿宋_GB2312" w:hAnsi="ˎ̥" w:eastAsia="仿宋_GB2312"/>
          <w:color w:val="000000"/>
          <w:sz w:val="32"/>
          <w:szCs w:val="32"/>
          <w:highlight w:val="none"/>
          <w:u w:val="none"/>
        </w:rPr>
        <w:t>其他地方自行试点项目收益专项债券收入安排的支出</w:t>
      </w:r>
      <w:r>
        <w:rPr>
          <w:rFonts w:hint="eastAsia" w:ascii="仿宋_GB2312" w:hAnsi="ˎ̥" w:eastAsia="仿宋_GB2312"/>
          <w:b/>
          <w:color w:val="000000"/>
          <w:sz w:val="32"/>
          <w:szCs w:val="32"/>
          <w:highlight w:val="none"/>
          <w:u w:val="none"/>
        </w:rPr>
        <w:t>（项）</w:t>
      </w:r>
      <w:r>
        <w:rPr>
          <w:rFonts w:hint="eastAsia" w:ascii="仿宋_GB2312" w:hAnsi="ˎ̥" w:eastAsia="仿宋_GB2312"/>
          <w:color w:val="000000"/>
          <w:sz w:val="32"/>
          <w:szCs w:val="32"/>
          <w:highlight w:val="none"/>
          <w:u w:val="none"/>
        </w:rPr>
        <w:t>年初预算为</w:t>
      </w:r>
      <w:r>
        <w:rPr>
          <w:rFonts w:hint="eastAsia" w:ascii="仿宋_GB2312" w:hAnsi="ˎ̥" w:eastAsia="仿宋_GB2312"/>
          <w:color w:val="000000"/>
          <w:sz w:val="32"/>
          <w:szCs w:val="32"/>
          <w:highlight w:val="none"/>
          <w:u w:val="none"/>
          <w:lang w:val="en-US" w:eastAsia="zh-CN"/>
        </w:rPr>
        <w:t>0</w:t>
      </w:r>
      <w:r>
        <w:rPr>
          <w:rFonts w:hint="eastAsia" w:ascii="仿宋_GB2312" w:hAnsi="ˎ̥" w:eastAsia="仿宋_GB2312"/>
          <w:color w:val="000000"/>
          <w:sz w:val="32"/>
          <w:szCs w:val="32"/>
          <w:highlight w:val="none"/>
          <w:u w:val="none"/>
        </w:rPr>
        <w:t>万元，支出决算为</w:t>
      </w:r>
      <w:r>
        <w:rPr>
          <w:rFonts w:hint="eastAsia" w:ascii="仿宋_GB2312" w:hAnsi="ˎ̥" w:eastAsia="仿宋_GB2312"/>
          <w:color w:val="000000"/>
          <w:sz w:val="32"/>
          <w:szCs w:val="32"/>
          <w:highlight w:val="none"/>
          <w:u w:val="none"/>
          <w:lang w:val="en-US" w:eastAsia="zh-CN"/>
        </w:rPr>
        <w:t>18598.36</w:t>
      </w:r>
      <w:r>
        <w:rPr>
          <w:rFonts w:hint="eastAsia" w:ascii="仿宋_GB2312" w:hAnsi="ˎ̥" w:eastAsia="仿宋_GB2312"/>
          <w:color w:val="000000"/>
          <w:sz w:val="32"/>
          <w:szCs w:val="32"/>
          <w:highlight w:val="none"/>
          <w:u w:val="none"/>
        </w:rPr>
        <w:t>万元，完成年初预算的</w:t>
      </w:r>
      <w:r>
        <w:rPr>
          <w:rFonts w:hint="eastAsia" w:ascii="仿宋_GB2312" w:hAnsi="ˎ̥" w:eastAsia="仿宋_GB2312"/>
          <w:color w:val="000000"/>
          <w:sz w:val="32"/>
          <w:szCs w:val="32"/>
          <w:highlight w:val="none"/>
          <w:u w:val="none"/>
          <w:lang w:val="en-US" w:eastAsia="zh-CN"/>
        </w:rPr>
        <w:t>100</w:t>
      </w:r>
      <w:r>
        <w:rPr>
          <w:rFonts w:hint="eastAsia" w:ascii="仿宋_GB2312" w:hAnsi="ˎ̥" w:eastAsia="仿宋_GB2312"/>
          <w:color w:val="000000"/>
          <w:sz w:val="32"/>
          <w:szCs w:val="32"/>
          <w:highlight w:val="none"/>
          <w:u w:val="none"/>
        </w:rPr>
        <w:t>%。决算数大于预算数的主要原因：一是</w:t>
      </w:r>
      <w:r>
        <w:rPr>
          <w:rFonts w:hint="eastAsia" w:ascii="仿宋_GB2312" w:hAnsi="ˎ̥" w:eastAsia="仿宋_GB2312"/>
          <w:color w:val="000000"/>
          <w:sz w:val="32"/>
          <w:szCs w:val="32"/>
          <w:highlight w:val="none"/>
          <w:u w:val="none"/>
          <w:lang w:val="en-US" w:eastAsia="zh-CN"/>
        </w:rPr>
        <w:t>2022年增加了</w:t>
      </w:r>
      <w:r>
        <w:rPr>
          <w:rFonts w:hint="eastAsia" w:ascii="仿宋_GB2312" w:hAnsi="ˎ̥" w:eastAsia="仿宋_GB2312"/>
          <w:color w:val="000000"/>
          <w:sz w:val="32"/>
          <w:szCs w:val="32"/>
          <w:highlight w:val="none"/>
          <w:u w:val="none"/>
        </w:rPr>
        <w:t>其他地方自行试点项目收益专项债券收入安排的支出</w:t>
      </w:r>
      <w:r>
        <w:rPr>
          <w:rFonts w:hint="eastAsia" w:ascii="仿宋_GB2312" w:hAnsi="ˎ̥" w:eastAsia="仿宋_GB2312"/>
          <w:color w:val="000000"/>
          <w:sz w:val="32"/>
          <w:szCs w:val="32"/>
          <w:highlight w:val="none"/>
          <w:u w:val="none"/>
          <w:lang w:eastAsia="zh-CN"/>
        </w:rPr>
        <w:t>，主要用于新建二期门诊综合大楼建设项目</w:t>
      </w:r>
      <w:r>
        <w:rPr>
          <w:rFonts w:hint="eastAsia" w:ascii="仿宋_GB2312" w:hAnsi="ˎ̥" w:eastAsia="仿宋_GB2312"/>
          <w:color w:val="000000"/>
          <w:sz w:val="32"/>
          <w:szCs w:val="32"/>
          <w:highlight w:val="none"/>
          <w:u w:val="none"/>
          <w:lang w:val="en-US" w:eastAsia="zh-CN"/>
        </w:rPr>
        <w:t>1684.01万元，新建二期综合楼医疗设备采购项目11153.37万元，三亚中心医院高端CT等医疗设备采购项目5748.58万元，三亚市中心医院改扩建项目12.40万元</w:t>
      </w:r>
      <w:r>
        <w:rPr>
          <w:rFonts w:hint="eastAsia" w:ascii="仿宋_GB2312" w:hAnsi="ˎ̥" w:eastAsia="仿宋_GB2312"/>
          <w:color w:val="000000"/>
          <w:sz w:val="32"/>
          <w:szCs w:val="32"/>
          <w:highlight w:val="none"/>
          <w:u w:val="none"/>
        </w:rPr>
        <w:t xml:space="preserve">。  </w:t>
      </w:r>
    </w:p>
    <w:p>
      <w:pPr>
        <w:keepNext w:val="0"/>
        <w:keepLines w:val="0"/>
        <w:pageBreakBefore w:val="0"/>
        <w:tabs>
          <w:tab w:val="center" w:pos="4473"/>
        </w:tabs>
        <w:kinsoku/>
        <w:wordWrap/>
        <w:overflowPunct/>
        <w:topLinePunct w:val="0"/>
        <w:autoSpaceDE/>
        <w:autoSpaceDN/>
        <w:bidi w:val="0"/>
        <w:adjustRightInd/>
        <w:snapToGrid/>
        <w:spacing w:line="560" w:lineRule="exact"/>
        <w:ind w:firstLine="627" w:firstLineChars="196"/>
        <w:textAlignment w:val="auto"/>
        <w:rPr>
          <w:rFonts w:hint="eastAsia" w:ascii="黑体" w:hAnsi="黑体" w:eastAsia="黑体" w:cs="黑体"/>
          <w:bCs/>
          <w:color w:val="000000"/>
          <w:sz w:val="32"/>
          <w:szCs w:val="32"/>
          <w:highlight w:val="none"/>
          <w:u w:val="none"/>
        </w:rPr>
      </w:pPr>
      <w:r>
        <w:rPr>
          <w:rFonts w:hint="eastAsia" w:ascii="黑体" w:hAnsi="黑体" w:eastAsia="黑体" w:cs="黑体"/>
          <w:bCs/>
          <w:color w:val="000000"/>
          <w:sz w:val="32"/>
          <w:szCs w:val="32"/>
          <w:highlight w:val="none"/>
          <w:u w:val="none"/>
        </w:rPr>
        <w:t>八、国有资本经营预算财政拨款支出决算情况说明</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color w:val="000000"/>
          <w:sz w:val="32"/>
          <w:szCs w:val="32"/>
          <w:highlight w:val="none"/>
          <w:u w:val="none"/>
        </w:rPr>
      </w:pPr>
      <w:r>
        <w:rPr>
          <w:rFonts w:hint="eastAsia" w:ascii="楷体" w:hAnsi="楷体" w:eastAsia="楷体" w:cs="楷体"/>
          <w:color w:val="000000"/>
          <w:sz w:val="32"/>
          <w:szCs w:val="32"/>
          <w:highlight w:val="none"/>
          <w:u w:val="none"/>
        </w:rPr>
        <w:t>（一）国有资本经营预算财政拨款支出决算总体情况。</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ˎ̥" w:eastAsia="仿宋_GB2312"/>
          <w:color w:val="000000"/>
          <w:sz w:val="32"/>
          <w:szCs w:val="32"/>
          <w:highlight w:val="none"/>
          <w:u w:val="none"/>
        </w:rPr>
      </w:pPr>
      <w:r>
        <w:rPr>
          <w:rFonts w:hint="eastAsia" w:ascii="仿宋_GB2312" w:hAnsi="ˎ̥" w:eastAsia="仿宋_GB2312"/>
          <w:color w:val="000000"/>
          <w:sz w:val="32"/>
          <w:szCs w:val="32"/>
          <w:highlight w:val="none"/>
          <w:u w:val="none"/>
        </w:rPr>
        <w:t>2022年度国有资本经营预算财政拨款支出</w:t>
      </w:r>
      <w:r>
        <w:rPr>
          <w:rFonts w:hint="eastAsia" w:ascii="仿宋_GB2312" w:hAnsi="ˎ̥" w:eastAsia="仿宋_GB2312"/>
          <w:color w:val="000000"/>
          <w:sz w:val="32"/>
          <w:szCs w:val="32"/>
          <w:highlight w:val="none"/>
          <w:u w:val="none"/>
          <w:lang w:val="en-US" w:eastAsia="zh-CN"/>
        </w:rPr>
        <w:t>0</w:t>
      </w:r>
      <w:r>
        <w:rPr>
          <w:rFonts w:hint="eastAsia" w:ascii="仿宋_GB2312" w:hAnsi="ˎ̥" w:eastAsia="仿宋_GB2312"/>
          <w:color w:val="000000"/>
          <w:sz w:val="32"/>
          <w:szCs w:val="32"/>
          <w:highlight w:val="none"/>
          <w:u w:val="none"/>
        </w:rPr>
        <w:t>万元，占本年支出合计的</w:t>
      </w:r>
      <w:r>
        <w:rPr>
          <w:rFonts w:hint="eastAsia" w:ascii="仿宋_GB2312" w:hAnsi="ˎ̥" w:eastAsia="仿宋_GB2312"/>
          <w:color w:val="000000"/>
          <w:sz w:val="32"/>
          <w:szCs w:val="32"/>
          <w:highlight w:val="none"/>
          <w:u w:val="none"/>
          <w:lang w:val="en-US" w:eastAsia="zh-CN"/>
        </w:rPr>
        <w:t>0</w:t>
      </w:r>
      <w:r>
        <w:rPr>
          <w:rFonts w:hint="eastAsia" w:ascii="仿宋_GB2312" w:hAnsi="ˎ̥" w:eastAsia="仿宋_GB2312"/>
          <w:color w:val="000000"/>
          <w:sz w:val="32"/>
          <w:szCs w:val="32"/>
          <w:highlight w:val="none"/>
          <w:u w:val="none"/>
        </w:rPr>
        <w:t>%。与2021年度相比，国有资本经营预算财政拨款支出增加</w:t>
      </w:r>
      <w:r>
        <w:rPr>
          <w:rFonts w:hint="eastAsia" w:ascii="仿宋_GB2312" w:hAnsi="ˎ̥" w:eastAsia="仿宋_GB2312"/>
          <w:color w:val="000000"/>
          <w:sz w:val="32"/>
          <w:szCs w:val="32"/>
          <w:highlight w:val="none"/>
          <w:u w:val="none"/>
          <w:lang w:val="en-US" w:eastAsia="zh-CN"/>
        </w:rPr>
        <w:t>0</w:t>
      </w:r>
      <w:r>
        <w:rPr>
          <w:rFonts w:hint="eastAsia" w:ascii="仿宋_GB2312" w:hAnsi="ˎ̥" w:eastAsia="仿宋_GB2312"/>
          <w:color w:val="000000"/>
          <w:sz w:val="32"/>
          <w:szCs w:val="32"/>
          <w:highlight w:val="none"/>
          <w:u w:val="none"/>
        </w:rPr>
        <w:t>万元，增长</w:t>
      </w:r>
      <w:r>
        <w:rPr>
          <w:rFonts w:hint="eastAsia" w:ascii="仿宋_GB2312" w:hAnsi="ˎ̥" w:eastAsia="仿宋_GB2312"/>
          <w:color w:val="000000"/>
          <w:sz w:val="32"/>
          <w:szCs w:val="32"/>
          <w:highlight w:val="none"/>
          <w:u w:val="none"/>
          <w:lang w:val="en-US" w:eastAsia="zh-CN"/>
        </w:rPr>
        <w:t>0</w:t>
      </w:r>
      <w:r>
        <w:rPr>
          <w:rFonts w:hint="eastAsia" w:ascii="仿宋_GB2312" w:hAnsi="ˎ̥" w:eastAsia="仿宋_GB2312"/>
          <w:color w:val="000000"/>
          <w:sz w:val="32"/>
          <w:szCs w:val="32"/>
          <w:highlight w:val="none"/>
          <w:u w:val="none"/>
        </w:rPr>
        <w:t>%，主要原因是</w:t>
      </w:r>
      <w:r>
        <w:rPr>
          <w:rFonts w:hint="eastAsia" w:ascii="仿宋_GB2312" w:hAnsi="ˎ̥" w:eastAsia="仿宋_GB2312"/>
          <w:color w:val="000000"/>
          <w:sz w:val="32"/>
          <w:szCs w:val="32"/>
          <w:highlight w:val="none"/>
          <w:u w:val="none"/>
          <w:lang w:eastAsia="zh-CN"/>
        </w:rPr>
        <w:t>无</w:t>
      </w:r>
      <w:r>
        <w:rPr>
          <w:rFonts w:hint="eastAsia" w:ascii="仿宋_GB2312" w:hAnsi="ˎ̥" w:eastAsia="仿宋_GB2312"/>
          <w:color w:val="000000"/>
          <w:sz w:val="32"/>
          <w:szCs w:val="32"/>
          <w:highlight w:val="none"/>
          <w:u w:val="none"/>
        </w:rPr>
        <w:t>国有资本经营预算财政拨款支出。</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color w:val="000000"/>
          <w:sz w:val="32"/>
          <w:szCs w:val="32"/>
          <w:highlight w:val="none"/>
          <w:u w:val="none"/>
        </w:rPr>
      </w:pPr>
      <w:r>
        <w:rPr>
          <w:rFonts w:hint="eastAsia" w:ascii="楷体" w:hAnsi="楷体" w:eastAsia="楷体" w:cs="楷体"/>
          <w:color w:val="000000"/>
          <w:sz w:val="32"/>
          <w:szCs w:val="32"/>
          <w:highlight w:val="none"/>
          <w:u w:val="none"/>
        </w:rPr>
        <w:t>（二）国有资本经营预算财政拨款支出决算结构情况。</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ˎ̥" w:eastAsia="仿宋_GB2312"/>
          <w:color w:val="000000"/>
          <w:sz w:val="32"/>
          <w:szCs w:val="32"/>
          <w:highlight w:val="none"/>
          <w:u w:val="none"/>
        </w:rPr>
      </w:pPr>
      <w:r>
        <w:rPr>
          <w:rFonts w:hint="eastAsia" w:ascii="仿宋_GB2312" w:hAnsi="ˎ̥" w:eastAsia="仿宋_GB2312"/>
          <w:color w:val="000000"/>
          <w:sz w:val="32"/>
          <w:szCs w:val="32"/>
          <w:highlight w:val="none"/>
          <w:u w:val="none"/>
        </w:rPr>
        <w:t>2022年度国有资本经营预算财政拨款支出</w:t>
      </w:r>
      <w:r>
        <w:rPr>
          <w:rFonts w:hint="eastAsia" w:ascii="仿宋_GB2312" w:hAnsi="ˎ̥" w:eastAsia="仿宋_GB2312"/>
          <w:color w:val="000000"/>
          <w:sz w:val="32"/>
          <w:szCs w:val="32"/>
          <w:highlight w:val="none"/>
          <w:u w:val="none"/>
          <w:lang w:val="en-US" w:eastAsia="zh-CN"/>
        </w:rPr>
        <w:t>0</w:t>
      </w:r>
      <w:r>
        <w:rPr>
          <w:rFonts w:hint="eastAsia" w:ascii="仿宋_GB2312" w:hAnsi="ˎ̥" w:eastAsia="仿宋_GB2312"/>
          <w:color w:val="000000"/>
          <w:sz w:val="32"/>
          <w:szCs w:val="32"/>
          <w:highlight w:val="none"/>
          <w:u w:val="none"/>
        </w:rPr>
        <w:t>万元，</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color w:val="000000"/>
          <w:sz w:val="32"/>
          <w:szCs w:val="32"/>
          <w:highlight w:val="none"/>
          <w:u w:val="none"/>
        </w:rPr>
      </w:pPr>
      <w:r>
        <w:rPr>
          <w:rFonts w:hint="eastAsia" w:ascii="楷体" w:hAnsi="楷体" w:eastAsia="楷体" w:cs="楷体"/>
          <w:color w:val="000000"/>
          <w:sz w:val="32"/>
          <w:szCs w:val="32"/>
          <w:highlight w:val="none"/>
          <w:u w:val="none"/>
        </w:rPr>
        <w:t>（三）国有资本经营预算财政拨款支出决算具体情况。</w:t>
      </w:r>
    </w:p>
    <w:p>
      <w:pPr>
        <w:keepNext w:val="0"/>
        <w:keepLines w:val="0"/>
        <w:pageBreakBefore w:val="0"/>
        <w:tabs>
          <w:tab w:val="center" w:pos="4473"/>
        </w:tabs>
        <w:kinsoku/>
        <w:wordWrap/>
        <w:overflowPunct/>
        <w:topLinePunct w:val="0"/>
        <w:autoSpaceDE/>
        <w:autoSpaceDN/>
        <w:bidi w:val="0"/>
        <w:adjustRightInd/>
        <w:snapToGrid/>
        <w:spacing w:line="560" w:lineRule="exact"/>
        <w:ind w:firstLine="640" w:firstLineChars="200"/>
        <w:textAlignment w:val="auto"/>
        <w:rPr>
          <w:rFonts w:hint="eastAsia" w:ascii="仿宋_GB2312" w:hAnsi="ˎ̥" w:eastAsia="仿宋_GB2312"/>
          <w:color w:val="000000"/>
          <w:sz w:val="32"/>
          <w:szCs w:val="32"/>
          <w:highlight w:val="none"/>
          <w:u w:val="none"/>
        </w:rPr>
      </w:pPr>
      <w:r>
        <w:rPr>
          <w:rFonts w:hint="eastAsia" w:ascii="仿宋_GB2312" w:hAnsi="ˎ̥" w:eastAsia="仿宋_GB2312"/>
          <w:color w:val="000000"/>
          <w:sz w:val="32"/>
          <w:szCs w:val="32"/>
          <w:highlight w:val="none"/>
          <w:u w:val="none"/>
        </w:rPr>
        <w:t>2022年度国有资本经营预算财政拨款支出年初预算为</w:t>
      </w:r>
      <w:r>
        <w:rPr>
          <w:rFonts w:hint="eastAsia" w:ascii="仿宋_GB2312" w:hAnsi="ˎ̥" w:eastAsia="仿宋_GB2312"/>
          <w:color w:val="000000"/>
          <w:sz w:val="32"/>
          <w:szCs w:val="32"/>
          <w:highlight w:val="none"/>
          <w:u w:val="none"/>
          <w:lang w:val="en-US" w:eastAsia="zh-CN"/>
        </w:rPr>
        <w:t>0</w:t>
      </w:r>
      <w:r>
        <w:rPr>
          <w:rFonts w:hint="eastAsia" w:ascii="仿宋_GB2312" w:hAnsi="ˎ̥" w:eastAsia="仿宋_GB2312"/>
          <w:color w:val="000000"/>
          <w:sz w:val="32"/>
          <w:szCs w:val="32"/>
          <w:highlight w:val="none"/>
          <w:u w:val="none"/>
        </w:rPr>
        <w:t>万元，支出决算为</w:t>
      </w:r>
      <w:r>
        <w:rPr>
          <w:rFonts w:hint="eastAsia" w:ascii="仿宋_GB2312" w:hAnsi="ˎ̥" w:eastAsia="仿宋_GB2312"/>
          <w:color w:val="000000"/>
          <w:sz w:val="32"/>
          <w:szCs w:val="32"/>
          <w:highlight w:val="none"/>
          <w:u w:val="none"/>
          <w:lang w:val="en-US" w:eastAsia="zh-CN"/>
        </w:rPr>
        <w:t>0</w:t>
      </w:r>
      <w:r>
        <w:rPr>
          <w:rFonts w:hint="eastAsia" w:ascii="仿宋_GB2312" w:hAnsi="ˎ̥" w:eastAsia="仿宋_GB2312"/>
          <w:color w:val="000000"/>
          <w:sz w:val="32"/>
          <w:szCs w:val="32"/>
          <w:highlight w:val="none"/>
          <w:u w:val="none"/>
        </w:rPr>
        <w:t>万元，完成年初预算的</w:t>
      </w:r>
      <w:r>
        <w:rPr>
          <w:rFonts w:hint="eastAsia" w:ascii="仿宋_GB2312" w:hAnsi="ˎ̥" w:eastAsia="仿宋_GB2312"/>
          <w:color w:val="000000"/>
          <w:sz w:val="32"/>
          <w:szCs w:val="32"/>
          <w:highlight w:val="none"/>
          <w:u w:val="none"/>
          <w:lang w:val="en-US" w:eastAsia="zh-CN"/>
        </w:rPr>
        <w:t>0</w:t>
      </w:r>
      <w:r>
        <w:rPr>
          <w:rFonts w:hint="eastAsia" w:ascii="仿宋_GB2312" w:hAnsi="ˎ̥" w:eastAsia="仿宋_GB2312"/>
          <w:color w:val="000000"/>
          <w:sz w:val="32"/>
          <w:szCs w:val="32"/>
          <w:highlight w:val="none"/>
          <w:u w:val="none"/>
        </w:rPr>
        <w:t>%。</w:t>
      </w:r>
    </w:p>
    <w:p>
      <w:pPr>
        <w:keepNext w:val="0"/>
        <w:keepLines w:val="0"/>
        <w:pageBreakBefore w:val="0"/>
        <w:kinsoku/>
        <w:wordWrap/>
        <w:overflowPunct/>
        <w:topLinePunct w:val="0"/>
        <w:autoSpaceDE/>
        <w:autoSpaceDN/>
        <w:bidi w:val="0"/>
        <w:adjustRightInd/>
        <w:snapToGrid/>
        <w:spacing w:line="560" w:lineRule="exact"/>
        <w:ind w:firstLine="627" w:firstLineChars="196"/>
        <w:textAlignment w:val="auto"/>
        <w:rPr>
          <w:rFonts w:hint="eastAsia" w:ascii="仿宋_GB2312" w:hAnsi="ˎ̥" w:eastAsia="楷体_GB2312"/>
          <w:color w:val="000000"/>
          <w:sz w:val="32"/>
          <w:szCs w:val="32"/>
          <w:highlight w:val="none"/>
          <w:u w:val="none"/>
        </w:rPr>
      </w:pPr>
      <w:r>
        <w:rPr>
          <w:rFonts w:hint="eastAsia" w:ascii="黑体" w:hAnsi="黑体" w:eastAsia="黑体" w:cs="黑体"/>
          <w:bCs/>
          <w:color w:val="000000"/>
          <w:sz w:val="32"/>
          <w:szCs w:val="32"/>
          <w:highlight w:val="none"/>
          <w:u w:val="none"/>
        </w:rPr>
        <w:t>九、财政拨款“三公”经费支出决算情况说明</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bCs/>
          <w:color w:val="000000"/>
          <w:sz w:val="32"/>
          <w:szCs w:val="32"/>
          <w:highlight w:val="none"/>
          <w:u w:val="none"/>
        </w:rPr>
      </w:pPr>
      <w:r>
        <w:rPr>
          <w:rFonts w:hint="eastAsia" w:ascii="楷体" w:hAnsi="楷体" w:eastAsia="楷体" w:cs="楷体"/>
          <w:bCs/>
          <w:color w:val="000000"/>
          <w:sz w:val="32"/>
          <w:szCs w:val="32"/>
          <w:highlight w:val="none"/>
          <w:u w:val="none"/>
        </w:rPr>
        <w:t>（一）财政拨款“三公”经费支出决算总体情况说明。</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ˎ̥" w:eastAsia="仿宋_GB2312"/>
          <w:color w:val="000000"/>
          <w:sz w:val="32"/>
          <w:szCs w:val="32"/>
          <w:highlight w:val="none"/>
          <w:u w:val="none"/>
        </w:rPr>
      </w:pPr>
      <w:r>
        <w:rPr>
          <w:rFonts w:hint="eastAsia" w:ascii="仿宋_GB2312" w:hAnsi="ˎ̥" w:eastAsia="仿宋_GB2312"/>
          <w:color w:val="000000"/>
          <w:sz w:val="32"/>
          <w:szCs w:val="32"/>
          <w:highlight w:val="none"/>
          <w:u w:val="none"/>
        </w:rPr>
        <w:t xml:space="preserve">    2022年度财政拨款“三公”经费支出预算为</w:t>
      </w:r>
      <w:r>
        <w:rPr>
          <w:rFonts w:hint="eastAsia" w:ascii="仿宋_GB2312" w:hAnsi="ˎ̥" w:eastAsia="仿宋_GB2312"/>
          <w:color w:val="000000"/>
          <w:sz w:val="32"/>
          <w:szCs w:val="32"/>
          <w:highlight w:val="none"/>
          <w:u w:val="none"/>
          <w:lang w:val="en-US" w:eastAsia="zh-CN"/>
        </w:rPr>
        <w:t>0</w:t>
      </w:r>
      <w:r>
        <w:rPr>
          <w:rFonts w:hint="eastAsia" w:ascii="仿宋_GB2312" w:hAnsi="ˎ̥" w:eastAsia="仿宋_GB2312"/>
          <w:color w:val="000000"/>
          <w:sz w:val="32"/>
          <w:szCs w:val="32"/>
          <w:highlight w:val="none"/>
          <w:u w:val="none"/>
        </w:rPr>
        <w:t>万元，支出决算为</w:t>
      </w:r>
      <w:r>
        <w:rPr>
          <w:rFonts w:hint="eastAsia" w:ascii="仿宋_GB2312" w:hAnsi="ˎ̥" w:eastAsia="仿宋_GB2312"/>
          <w:color w:val="000000"/>
          <w:sz w:val="32"/>
          <w:szCs w:val="32"/>
          <w:highlight w:val="none"/>
          <w:u w:val="none"/>
          <w:lang w:val="en-US" w:eastAsia="zh-CN"/>
        </w:rPr>
        <w:t>0</w:t>
      </w:r>
      <w:r>
        <w:rPr>
          <w:rFonts w:hint="eastAsia" w:ascii="仿宋_GB2312" w:hAnsi="ˎ̥" w:eastAsia="仿宋_GB2312"/>
          <w:color w:val="000000"/>
          <w:sz w:val="32"/>
          <w:szCs w:val="32"/>
          <w:highlight w:val="none"/>
          <w:u w:val="none"/>
        </w:rPr>
        <w:t>万元，完成预算的</w:t>
      </w:r>
      <w:r>
        <w:rPr>
          <w:rFonts w:hint="eastAsia" w:ascii="仿宋_GB2312" w:hAnsi="ˎ̥" w:eastAsia="仿宋_GB2312"/>
          <w:color w:val="000000"/>
          <w:sz w:val="32"/>
          <w:szCs w:val="32"/>
          <w:highlight w:val="none"/>
          <w:u w:val="none"/>
          <w:lang w:val="en-US" w:eastAsia="zh-CN"/>
        </w:rPr>
        <w:t>0</w:t>
      </w:r>
      <w:r>
        <w:rPr>
          <w:rFonts w:hint="eastAsia" w:ascii="仿宋_GB2312" w:hAnsi="ˎ̥" w:eastAsia="仿宋_GB2312"/>
          <w:color w:val="000000"/>
          <w:sz w:val="32"/>
          <w:szCs w:val="32"/>
          <w:highlight w:val="none"/>
          <w:u w:val="none"/>
        </w:rPr>
        <w:t>%。</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楷体" w:hAnsi="楷体" w:eastAsia="楷体" w:cs="楷体"/>
          <w:color w:val="000000"/>
          <w:sz w:val="32"/>
          <w:szCs w:val="32"/>
          <w:highlight w:val="none"/>
          <w:u w:val="none"/>
        </w:rPr>
      </w:pPr>
      <w:r>
        <w:rPr>
          <w:rFonts w:hint="eastAsia" w:ascii="楷体" w:hAnsi="楷体" w:eastAsia="楷体" w:cs="楷体"/>
          <w:b/>
          <w:bCs/>
          <w:color w:val="000000"/>
          <w:sz w:val="32"/>
          <w:szCs w:val="32"/>
          <w:highlight w:val="none"/>
          <w:u w:val="none"/>
        </w:rPr>
        <w:t xml:space="preserve">   </w:t>
      </w:r>
      <w:r>
        <w:rPr>
          <w:rFonts w:hint="eastAsia" w:ascii="楷体" w:hAnsi="楷体" w:eastAsia="楷体" w:cs="楷体"/>
          <w:color w:val="000000"/>
          <w:sz w:val="32"/>
          <w:szCs w:val="32"/>
          <w:highlight w:val="none"/>
          <w:u w:val="none"/>
        </w:rPr>
        <w:t xml:space="preserve"> （二）财政拨款“三公”经费支出决算具体情况说明。</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ˎ̥" w:eastAsia="仿宋_GB2312"/>
          <w:color w:val="000000"/>
          <w:sz w:val="32"/>
          <w:szCs w:val="32"/>
          <w:highlight w:val="none"/>
          <w:u w:val="none"/>
        </w:rPr>
      </w:pPr>
      <w:r>
        <w:rPr>
          <w:rFonts w:hint="eastAsia" w:ascii="仿宋_GB2312" w:hAnsi="ˎ̥" w:eastAsia="仿宋_GB2312"/>
          <w:color w:val="000000"/>
          <w:sz w:val="32"/>
          <w:szCs w:val="32"/>
          <w:highlight w:val="none"/>
          <w:u w:val="none"/>
        </w:rPr>
        <w:t>2022年度财政拨款“三公”经费支出决算中，因公出国（境）费支出决算</w:t>
      </w:r>
      <w:r>
        <w:rPr>
          <w:rFonts w:hint="eastAsia" w:ascii="仿宋_GB2312" w:hAnsi="ˎ̥" w:eastAsia="仿宋_GB2312"/>
          <w:color w:val="000000"/>
          <w:sz w:val="32"/>
          <w:szCs w:val="32"/>
          <w:highlight w:val="none"/>
          <w:u w:val="none"/>
          <w:lang w:val="en-US" w:eastAsia="zh-CN"/>
        </w:rPr>
        <w:t>0</w:t>
      </w:r>
      <w:r>
        <w:rPr>
          <w:rFonts w:hint="eastAsia" w:ascii="仿宋_GB2312" w:hAnsi="ˎ̥" w:eastAsia="仿宋_GB2312"/>
          <w:color w:val="000000"/>
          <w:sz w:val="32"/>
          <w:szCs w:val="32"/>
          <w:highlight w:val="none"/>
          <w:u w:val="none"/>
        </w:rPr>
        <w:t>万元，占</w:t>
      </w:r>
      <w:r>
        <w:rPr>
          <w:rFonts w:hint="eastAsia" w:ascii="仿宋_GB2312" w:hAnsi="ˎ̥" w:eastAsia="仿宋_GB2312"/>
          <w:color w:val="000000"/>
          <w:sz w:val="32"/>
          <w:szCs w:val="32"/>
          <w:highlight w:val="none"/>
          <w:u w:val="none"/>
          <w:lang w:val="en-US" w:eastAsia="zh-CN"/>
        </w:rPr>
        <w:t>0</w:t>
      </w:r>
      <w:r>
        <w:rPr>
          <w:rFonts w:hint="eastAsia" w:ascii="仿宋_GB2312" w:hAnsi="ˎ̥" w:eastAsia="仿宋_GB2312"/>
          <w:color w:val="000000"/>
          <w:sz w:val="32"/>
          <w:szCs w:val="32"/>
          <w:highlight w:val="none"/>
          <w:u w:val="none"/>
        </w:rPr>
        <w:t>%；公务用车购置及运行维护费支出决算</w:t>
      </w:r>
      <w:r>
        <w:rPr>
          <w:rFonts w:hint="eastAsia" w:ascii="仿宋_GB2312" w:hAnsi="ˎ̥" w:eastAsia="仿宋_GB2312"/>
          <w:color w:val="000000"/>
          <w:sz w:val="32"/>
          <w:szCs w:val="32"/>
          <w:highlight w:val="none"/>
          <w:u w:val="none"/>
          <w:lang w:val="en-US" w:eastAsia="zh-CN"/>
        </w:rPr>
        <w:t>0</w:t>
      </w:r>
      <w:r>
        <w:rPr>
          <w:rFonts w:hint="eastAsia" w:ascii="仿宋_GB2312" w:hAnsi="ˎ̥" w:eastAsia="仿宋_GB2312"/>
          <w:color w:val="000000"/>
          <w:sz w:val="32"/>
          <w:szCs w:val="32"/>
          <w:highlight w:val="none"/>
          <w:u w:val="none"/>
        </w:rPr>
        <w:t>万元，占</w:t>
      </w:r>
      <w:r>
        <w:rPr>
          <w:rFonts w:hint="eastAsia" w:ascii="仿宋_GB2312" w:hAnsi="ˎ̥" w:eastAsia="仿宋_GB2312"/>
          <w:color w:val="000000"/>
          <w:sz w:val="32"/>
          <w:szCs w:val="32"/>
          <w:highlight w:val="none"/>
          <w:u w:val="none"/>
          <w:lang w:val="en-US" w:eastAsia="zh-CN"/>
        </w:rPr>
        <w:t>0</w:t>
      </w:r>
      <w:r>
        <w:rPr>
          <w:rFonts w:hint="eastAsia" w:ascii="仿宋_GB2312" w:hAnsi="ˎ̥" w:eastAsia="仿宋_GB2312"/>
          <w:color w:val="000000"/>
          <w:sz w:val="32"/>
          <w:szCs w:val="32"/>
          <w:highlight w:val="none"/>
          <w:u w:val="none"/>
        </w:rPr>
        <w:t>%；公务接待费支出决算</w:t>
      </w:r>
      <w:r>
        <w:rPr>
          <w:rFonts w:hint="eastAsia" w:ascii="仿宋_GB2312" w:hAnsi="ˎ̥" w:eastAsia="仿宋_GB2312"/>
          <w:color w:val="000000"/>
          <w:sz w:val="32"/>
          <w:szCs w:val="32"/>
          <w:highlight w:val="none"/>
          <w:u w:val="none"/>
          <w:lang w:val="en-US" w:eastAsia="zh-CN"/>
        </w:rPr>
        <w:t>0</w:t>
      </w:r>
      <w:r>
        <w:rPr>
          <w:rFonts w:hint="eastAsia" w:ascii="仿宋_GB2312" w:hAnsi="ˎ̥" w:eastAsia="仿宋_GB2312"/>
          <w:color w:val="000000"/>
          <w:sz w:val="32"/>
          <w:szCs w:val="32"/>
          <w:highlight w:val="none"/>
          <w:u w:val="none"/>
        </w:rPr>
        <w:t>万元，占</w:t>
      </w:r>
      <w:r>
        <w:rPr>
          <w:rFonts w:hint="eastAsia" w:ascii="仿宋_GB2312" w:hAnsi="ˎ̥" w:eastAsia="仿宋_GB2312"/>
          <w:color w:val="000000"/>
          <w:sz w:val="32"/>
          <w:szCs w:val="32"/>
          <w:highlight w:val="none"/>
          <w:u w:val="none"/>
          <w:lang w:val="en-US" w:eastAsia="zh-CN"/>
        </w:rPr>
        <w:t>0</w:t>
      </w:r>
      <w:r>
        <w:rPr>
          <w:rFonts w:hint="eastAsia" w:ascii="仿宋_GB2312" w:hAnsi="ˎ̥" w:eastAsia="仿宋_GB2312"/>
          <w:color w:val="000000"/>
          <w:sz w:val="32"/>
          <w:szCs w:val="32"/>
          <w:highlight w:val="none"/>
          <w:u w:val="none"/>
        </w:rPr>
        <w:t>%。具体情况如下：</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hAnsi="ˎ̥" w:eastAsia="仿宋_GB2312"/>
          <w:color w:val="000000"/>
          <w:sz w:val="32"/>
          <w:szCs w:val="32"/>
          <w:highlight w:val="none"/>
          <w:u w:val="none"/>
        </w:rPr>
      </w:pPr>
      <w:r>
        <w:rPr>
          <w:rFonts w:hint="eastAsia" w:ascii="仿宋_GB2312" w:hAnsi="ˎ̥" w:eastAsia="仿宋_GB2312"/>
          <w:b/>
          <w:color w:val="000000"/>
          <w:sz w:val="32"/>
          <w:szCs w:val="32"/>
          <w:highlight w:val="none"/>
          <w:u w:val="none"/>
        </w:rPr>
        <w:t>1.因公出国（境）费</w:t>
      </w:r>
      <w:r>
        <w:rPr>
          <w:rFonts w:hint="eastAsia" w:ascii="仿宋_GB2312" w:hAnsi="ˎ̥" w:eastAsia="仿宋_GB2312"/>
          <w:color w:val="000000"/>
          <w:sz w:val="32"/>
          <w:szCs w:val="32"/>
          <w:highlight w:val="none"/>
          <w:u w:val="none"/>
        </w:rPr>
        <w:t>支出</w:t>
      </w:r>
      <w:r>
        <w:rPr>
          <w:rFonts w:hint="eastAsia" w:ascii="仿宋_GB2312" w:hAnsi="ˎ̥" w:eastAsia="仿宋_GB2312"/>
          <w:color w:val="000000"/>
          <w:sz w:val="32"/>
          <w:szCs w:val="32"/>
          <w:highlight w:val="none"/>
          <w:u w:val="none"/>
          <w:lang w:val="en-US" w:eastAsia="zh-CN"/>
        </w:rPr>
        <w:t>0</w:t>
      </w:r>
      <w:r>
        <w:rPr>
          <w:rFonts w:hint="eastAsia" w:ascii="仿宋_GB2312" w:hAnsi="ˎ̥" w:eastAsia="仿宋_GB2312"/>
          <w:color w:val="000000"/>
          <w:sz w:val="32"/>
          <w:szCs w:val="32"/>
          <w:highlight w:val="none"/>
          <w:u w:val="none"/>
        </w:rPr>
        <w:t>万元。</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hAnsi="ˎ̥" w:eastAsia="仿宋_GB2312"/>
          <w:color w:val="000000"/>
          <w:sz w:val="32"/>
          <w:szCs w:val="32"/>
          <w:highlight w:val="none"/>
          <w:u w:val="none"/>
        </w:rPr>
      </w:pPr>
      <w:r>
        <w:rPr>
          <w:rFonts w:hint="eastAsia" w:ascii="仿宋_GB2312" w:hAnsi="ˎ̥" w:eastAsia="仿宋_GB2312"/>
          <w:b/>
          <w:color w:val="000000"/>
          <w:sz w:val="32"/>
          <w:szCs w:val="32"/>
          <w:highlight w:val="none"/>
          <w:u w:val="none"/>
        </w:rPr>
        <w:t>2.公务用车购置及运行维护费支出</w:t>
      </w:r>
      <w:r>
        <w:rPr>
          <w:rFonts w:hint="eastAsia" w:ascii="仿宋_GB2312" w:hAnsi="ˎ̥" w:eastAsia="仿宋_GB2312"/>
          <w:color w:val="000000"/>
          <w:sz w:val="32"/>
          <w:szCs w:val="32"/>
          <w:highlight w:val="none"/>
          <w:u w:val="none"/>
          <w:lang w:val="en-US" w:eastAsia="zh-CN"/>
        </w:rPr>
        <w:t>0</w:t>
      </w:r>
      <w:r>
        <w:rPr>
          <w:rFonts w:hint="eastAsia" w:ascii="仿宋_GB2312" w:hAnsi="ˎ̥" w:eastAsia="仿宋_GB2312"/>
          <w:color w:val="000000"/>
          <w:sz w:val="32"/>
          <w:szCs w:val="32"/>
          <w:highlight w:val="none"/>
          <w:u w:val="none"/>
        </w:rPr>
        <w:t>万元。</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hAnsi="ˎ̥" w:eastAsia="仿宋_GB2312"/>
          <w:color w:val="000000"/>
          <w:sz w:val="32"/>
          <w:szCs w:val="32"/>
          <w:highlight w:val="none"/>
          <w:u w:val="none"/>
        </w:rPr>
      </w:pPr>
      <w:r>
        <w:rPr>
          <w:rFonts w:hint="eastAsia" w:ascii="仿宋_GB2312" w:hAnsi="ˎ̥" w:eastAsia="仿宋_GB2312"/>
          <w:b/>
          <w:color w:val="000000"/>
          <w:sz w:val="32"/>
          <w:szCs w:val="32"/>
          <w:highlight w:val="none"/>
          <w:u w:val="none"/>
        </w:rPr>
        <w:t>3.公务接待费支出</w:t>
      </w:r>
      <w:r>
        <w:rPr>
          <w:rFonts w:hint="eastAsia" w:ascii="仿宋_GB2312" w:hAnsi="ˎ̥" w:eastAsia="仿宋_GB2312"/>
          <w:color w:val="000000"/>
          <w:sz w:val="32"/>
          <w:szCs w:val="32"/>
          <w:highlight w:val="none"/>
          <w:u w:val="none"/>
          <w:lang w:val="en-US" w:eastAsia="zh-CN"/>
        </w:rPr>
        <w:t>0</w:t>
      </w:r>
      <w:r>
        <w:rPr>
          <w:rFonts w:hint="eastAsia" w:ascii="仿宋_GB2312" w:hAnsi="ˎ̥" w:eastAsia="仿宋_GB2312"/>
          <w:color w:val="000000"/>
          <w:sz w:val="32"/>
          <w:szCs w:val="32"/>
          <w:highlight w:val="none"/>
          <w:u w:val="none"/>
        </w:rPr>
        <w:t>万元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Cs/>
          <w:color w:val="000000"/>
          <w:sz w:val="32"/>
          <w:szCs w:val="32"/>
          <w:highlight w:val="none"/>
          <w:u w:val="none"/>
        </w:rPr>
      </w:pPr>
      <w:r>
        <w:rPr>
          <w:rFonts w:hint="eastAsia" w:ascii="黑体" w:hAnsi="黑体" w:eastAsia="黑体" w:cs="黑体"/>
          <w:bCs/>
          <w:color w:val="000000"/>
          <w:sz w:val="32"/>
          <w:szCs w:val="32"/>
          <w:highlight w:val="none"/>
          <w:u w:val="none"/>
        </w:rPr>
        <w:t>十、预算绩效情况说明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b w:val="0"/>
          <w:bCs/>
          <w:color w:val="000000"/>
          <w:sz w:val="32"/>
          <w:szCs w:val="32"/>
          <w:highlight w:val="none"/>
          <w:u w:val="none"/>
        </w:rPr>
      </w:pPr>
      <w:r>
        <w:rPr>
          <w:rFonts w:hint="eastAsia" w:ascii="楷体" w:hAnsi="楷体" w:eastAsia="楷体" w:cs="楷体"/>
          <w:b w:val="0"/>
          <w:bCs/>
          <w:color w:val="000000"/>
          <w:sz w:val="32"/>
          <w:szCs w:val="32"/>
          <w:highlight w:val="none"/>
          <w:u w:val="none"/>
          <w:lang w:eastAsia="zh-CN"/>
        </w:rPr>
        <w:t>（一）</w:t>
      </w:r>
      <w:r>
        <w:rPr>
          <w:rFonts w:hint="eastAsia" w:ascii="楷体" w:hAnsi="楷体" w:eastAsia="楷体" w:cs="楷体"/>
          <w:b w:val="0"/>
          <w:bCs/>
          <w:color w:val="000000"/>
          <w:sz w:val="32"/>
          <w:szCs w:val="32"/>
          <w:highlight w:val="none"/>
          <w:u w:val="none"/>
        </w:rPr>
        <w:t>绩效管理工作开展情况。</w:t>
      </w:r>
    </w:p>
    <w:p>
      <w:pPr>
        <w:keepNext w:val="0"/>
        <w:keepLines w:val="0"/>
        <w:pageBreakBefore w:val="0"/>
        <w:widowControl w:val="0"/>
        <w:suppressLineNumbers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eastAsia="仿宋_GB2312"/>
          <w:color w:val="000000"/>
          <w:sz w:val="32"/>
          <w:szCs w:val="32"/>
          <w:highlight w:val="none"/>
          <w:u w:val="none"/>
        </w:rPr>
      </w:pPr>
      <w:r>
        <w:rPr>
          <w:rFonts w:hint="eastAsia" w:ascii="仿宋_GB2312" w:eastAsia="仿宋_GB2312"/>
          <w:color w:val="000000"/>
          <w:sz w:val="32"/>
          <w:szCs w:val="32"/>
          <w:highlight w:val="none"/>
          <w:u w:val="none"/>
        </w:rPr>
        <w:t>根据财政预算</w:t>
      </w:r>
      <w:r>
        <w:rPr>
          <w:rFonts w:hint="eastAsia" w:ascii="仿宋_GB2312" w:eastAsia="仿宋_GB2312"/>
          <w:color w:val="000000"/>
          <w:sz w:val="32"/>
          <w:szCs w:val="32"/>
          <w:highlight w:val="none"/>
          <w:u w:val="none"/>
          <w:lang w:eastAsia="zh-CN"/>
        </w:rPr>
        <w:t>绩效</w:t>
      </w:r>
      <w:r>
        <w:rPr>
          <w:rFonts w:hint="eastAsia" w:ascii="仿宋_GB2312" w:eastAsia="仿宋_GB2312"/>
          <w:color w:val="000000"/>
          <w:sz w:val="32"/>
          <w:szCs w:val="32"/>
          <w:highlight w:val="none"/>
          <w:u w:val="none"/>
        </w:rPr>
        <w:t>管理要求，</w:t>
      </w:r>
      <w:r>
        <w:rPr>
          <w:rFonts w:hint="eastAsia" w:ascii="仿宋_GB2312" w:eastAsia="仿宋_GB2312"/>
          <w:color w:val="000000"/>
          <w:sz w:val="32"/>
          <w:szCs w:val="32"/>
          <w:highlight w:val="none"/>
          <w:u w:val="none"/>
          <w:lang w:eastAsia="zh-CN"/>
        </w:rPr>
        <w:t>可</w:t>
      </w:r>
      <w:r>
        <w:rPr>
          <w:rFonts w:hint="eastAsia" w:ascii="仿宋_GB2312" w:eastAsia="仿宋_GB2312"/>
          <w:color w:val="000000"/>
          <w:sz w:val="32"/>
          <w:szCs w:val="32"/>
          <w:highlight w:val="none"/>
          <w:u w:val="none"/>
        </w:rPr>
        <w:t>按照如下格式说明：根据预算管理要求，我部门（单位）组织对</w:t>
      </w:r>
      <w:r>
        <w:rPr>
          <w:rFonts w:hint="eastAsia" w:ascii="仿宋_GB2312" w:eastAsia="仿宋_GB2312"/>
          <w:color w:val="000000"/>
          <w:sz w:val="32"/>
          <w:szCs w:val="32"/>
          <w:highlight w:val="none"/>
          <w:u w:val="none"/>
          <w:lang w:eastAsia="zh-CN"/>
        </w:rPr>
        <w:t>202</w:t>
      </w:r>
      <w:r>
        <w:rPr>
          <w:rFonts w:hint="eastAsia" w:ascii="仿宋_GB2312" w:eastAsia="仿宋_GB2312"/>
          <w:color w:val="000000"/>
          <w:sz w:val="32"/>
          <w:szCs w:val="32"/>
          <w:highlight w:val="none"/>
          <w:u w:val="none"/>
          <w:lang w:val="en-US" w:eastAsia="zh-CN"/>
        </w:rPr>
        <w:t>2</w:t>
      </w:r>
      <w:r>
        <w:rPr>
          <w:rFonts w:hint="eastAsia" w:ascii="仿宋_GB2312" w:eastAsia="仿宋_GB2312"/>
          <w:color w:val="000000"/>
          <w:sz w:val="32"/>
          <w:szCs w:val="32"/>
          <w:highlight w:val="none"/>
          <w:u w:val="none"/>
          <w:lang w:eastAsia="zh-CN"/>
        </w:rPr>
        <w:t>年度</w:t>
      </w:r>
      <w:r>
        <w:rPr>
          <w:rFonts w:hint="eastAsia" w:ascii="仿宋_GB2312" w:eastAsia="仿宋_GB2312"/>
          <w:color w:val="000000"/>
          <w:sz w:val="32"/>
          <w:szCs w:val="32"/>
          <w:highlight w:val="none"/>
          <w:u w:val="none"/>
        </w:rPr>
        <w:t>一般公共预算项目支出全面开展绩效自评。</w:t>
      </w:r>
      <w:r>
        <w:rPr>
          <w:rFonts w:hint="eastAsia" w:ascii="仿宋_GB2312" w:hAnsi="Times New Roman" w:eastAsia="仿宋_GB2312" w:cs="Times New Roman"/>
          <w:color w:val="000000"/>
          <w:kern w:val="2"/>
          <w:sz w:val="32"/>
          <w:szCs w:val="32"/>
          <w:highlight w:val="none"/>
          <w:u w:val="none"/>
          <w:lang w:val="en-US" w:eastAsia="zh-CN" w:bidi="ar"/>
        </w:rPr>
        <w:t>其中，自评项目16个，共涉及资金21908.03万元，占一般公共预算项目支出总额的107.94%。组织对2022年度</w:t>
      </w:r>
      <w:r>
        <w:rPr>
          <w:rFonts w:hint="eastAsia" w:ascii="仿宋_GB2312" w:hAnsi="ˎ̥" w:eastAsia="仿宋_GB2312"/>
          <w:color w:val="000000"/>
          <w:sz w:val="32"/>
          <w:szCs w:val="32"/>
          <w:highlight w:val="none"/>
          <w:u w:val="none"/>
          <w:lang w:eastAsia="zh-CN"/>
        </w:rPr>
        <w:t>新建二期门诊综合大楼建设项目</w:t>
      </w:r>
      <w:r>
        <w:rPr>
          <w:rFonts w:hint="eastAsia" w:ascii="仿宋_GB2312" w:hAnsi="ˎ̥" w:eastAsia="仿宋_GB2312"/>
          <w:color w:val="000000"/>
          <w:sz w:val="32"/>
          <w:szCs w:val="32"/>
          <w:highlight w:val="none"/>
          <w:u w:val="none"/>
          <w:lang w:val="en-US" w:eastAsia="zh-CN"/>
        </w:rPr>
        <w:t>、新建二期综合楼医疗设备采购项目、三亚中心医院高端CT等医疗设备采购项目、三亚市中心医院改扩建项目</w:t>
      </w:r>
      <w:r>
        <w:rPr>
          <w:rFonts w:hint="eastAsia" w:ascii="仿宋_GB2312" w:hAnsi="Times New Roman" w:eastAsia="仿宋_GB2312" w:cs="Times New Roman"/>
          <w:color w:val="000000"/>
          <w:kern w:val="2"/>
          <w:sz w:val="32"/>
          <w:szCs w:val="32"/>
          <w:highlight w:val="none"/>
          <w:u w:val="none"/>
          <w:lang w:val="en-US" w:eastAsia="zh-CN" w:bidi="ar"/>
        </w:rPr>
        <w:t>等4个政府性基金预算项目开展绩效自评，共涉及资金19240.61万元</w:t>
      </w:r>
      <w:r>
        <w:rPr>
          <w:rFonts w:hint="eastAsia" w:ascii="仿宋_GB2312" w:eastAsia="仿宋_GB2312" w:cs="Times New Roman"/>
          <w:color w:val="000000"/>
          <w:kern w:val="2"/>
          <w:sz w:val="32"/>
          <w:szCs w:val="32"/>
          <w:highlight w:val="none"/>
          <w:u w:val="none"/>
          <w:lang w:val="en-US" w:eastAsia="zh-CN" w:bidi="ar"/>
        </w:rPr>
        <w:t>，</w:t>
      </w:r>
      <w:r>
        <w:rPr>
          <w:rFonts w:hint="eastAsia" w:ascii="仿宋_GB2312" w:hAnsi="Times New Roman" w:eastAsia="仿宋_GB2312" w:cs="Times New Roman"/>
          <w:color w:val="000000"/>
          <w:kern w:val="2"/>
          <w:sz w:val="32"/>
          <w:szCs w:val="32"/>
          <w:highlight w:val="none"/>
          <w:u w:val="none"/>
          <w:lang w:val="en-US" w:eastAsia="zh-CN" w:bidi="ar"/>
        </w:rPr>
        <w:t>占政府性基金预算项目支出总额的103.45%。</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color w:val="000000"/>
          <w:sz w:val="32"/>
          <w:szCs w:val="32"/>
          <w:highlight w:val="none"/>
          <w:u w:val="none"/>
        </w:rPr>
      </w:pPr>
      <w:r>
        <w:rPr>
          <w:rFonts w:hint="eastAsia" w:ascii="仿宋_GB2312" w:eastAsia="仿宋_GB2312"/>
          <w:color w:val="000000"/>
          <w:sz w:val="32"/>
          <w:szCs w:val="32"/>
          <w:highlight w:val="none"/>
          <w:u w:val="none"/>
        </w:rPr>
        <w:t>共组织对“</w:t>
      </w:r>
      <w:r>
        <w:rPr>
          <w:rFonts w:hint="eastAsia" w:ascii="仿宋_GB2312" w:hAnsi="ˎ̥" w:eastAsia="仿宋_GB2312"/>
          <w:color w:val="000000"/>
          <w:sz w:val="32"/>
          <w:szCs w:val="32"/>
          <w:highlight w:val="none"/>
          <w:u w:val="none"/>
          <w:lang w:eastAsia="zh-CN"/>
        </w:rPr>
        <w:t>新建二期门诊综合大楼建设项目</w:t>
      </w:r>
      <w:r>
        <w:rPr>
          <w:rFonts w:hint="eastAsia" w:ascii="仿宋_GB2312" w:eastAsia="仿宋_GB2312"/>
          <w:color w:val="000000"/>
          <w:sz w:val="32"/>
          <w:szCs w:val="32"/>
          <w:highlight w:val="none"/>
          <w:u w:val="none"/>
        </w:rPr>
        <w:t>”等</w:t>
      </w:r>
      <w:r>
        <w:rPr>
          <w:rFonts w:hint="eastAsia" w:ascii="仿宋_GB2312" w:eastAsia="仿宋_GB2312"/>
          <w:color w:val="000000"/>
          <w:sz w:val="32"/>
          <w:szCs w:val="32"/>
          <w:highlight w:val="none"/>
          <w:u w:val="none"/>
          <w:lang w:val="en-US" w:eastAsia="zh-CN"/>
        </w:rPr>
        <w:t>20</w:t>
      </w:r>
      <w:r>
        <w:rPr>
          <w:rFonts w:hint="eastAsia" w:ascii="仿宋_GB2312" w:eastAsia="仿宋_GB2312"/>
          <w:color w:val="000000"/>
          <w:sz w:val="32"/>
          <w:szCs w:val="32"/>
          <w:highlight w:val="none"/>
          <w:u w:val="none"/>
        </w:rPr>
        <w:t>个项目</w:t>
      </w:r>
      <w:r>
        <w:rPr>
          <w:rFonts w:hint="eastAsia" w:ascii="仿宋_GB2312" w:eastAsia="仿宋_GB2312"/>
          <w:color w:val="000000"/>
          <w:sz w:val="32"/>
          <w:szCs w:val="32"/>
          <w:highlight w:val="none"/>
          <w:u w:val="none"/>
          <w:lang w:eastAsia="zh-CN"/>
        </w:rPr>
        <w:t>开展了部门</w:t>
      </w:r>
      <w:r>
        <w:rPr>
          <w:rFonts w:hint="eastAsia" w:ascii="仿宋_GB2312" w:eastAsia="仿宋_GB2312"/>
          <w:color w:val="000000"/>
          <w:sz w:val="32"/>
          <w:szCs w:val="32"/>
          <w:highlight w:val="none"/>
          <w:u w:val="none"/>
        </w:rPr>
        <w:t>评价，</w:t>
      </w:r>
      <w:r>
        <w:rPr>
          <w:rFonts w:hint="eastAsia" w:ascii="仿宋_GB2312" w:hAnsi="Times New Roman" w:eastAsia="仿宋_GB2312" w:cs="Times New Roman"/>
          <w:color w:val="000000"/>
          <w:kern w:val="2"/>
          <w:sz w:val="32"/>
          <w:szCs w:val="32"/>
          <w:highlight w:val="none"/>
          <w:u w:val="none"/>
          <w:lang w:val="en-US" w:eastAsia="zh-CN" w:bidi="ar"/>
        </w:rPr>
        <w:t>涉及一般公共预算支出21908.03万元，政府性基金预算支出19240.61万元，</w:t>
      </w:r>
      <w:r>
        <w:rPr>
          <w:rFonts w:hint="eastAsia" w:ascii="仿宋_GB2312" w:eastAsia="仿宋_GB2312"/>
          <w:color w:val="000000"/>
          <w:sz w:val="32"/>
          <w:szCs w:val="32"/>
          <w:highlight w:val="none"/>
          <w:u w:val="none"/>
          <w:lang w:eastAsia="zh-CN"/>
        </w:rPr>
        <w:t>完成部门</w:t>
      </w:r>
      <w:r>
        <w:rPr>
          <w:rFonts w:hint="eastAsia" w:ascii="仿宋_GB2312" w:eastAsia="仿宋_GB2312"/>
          <w:color w:val="000000"/>
          <w:sz w:val="32"/>
          <w:szCs w:val="32"/>
          <w:highlight w:val="none"/>
          <w:u w:val="none"/>
        </w:rPr>
        <w:t>整体支出绩效评价，</w:t>
      </w:r>
      <w:r>
        <w:rPr>
          <w:rFonts w:hint="eastAsia" w:ascii="仿宋_GB2312" w:hAnsi="Times New Roman" w:eastAsia="仿宋_GB2312" w:cs="Times New Roman"/>
          <w:color w:val="000000"/>
          <w:kern w:val="2"/>
          <w:sz w:val="32"/>
          <w:szCs w:val="32"/>
          <w:highlight w:val="none"/>
          <w:u w:val="none"/>
          <w:lang w:val="en-US" w:eastAsia="zh-CN" w:bidi="ar"/>
        </w:rPr>
        <w:t>涉及一般公共预算支出21908.03万元，政府性基金预算支出19240.61万元。</w:t>
      </w:r>
    </w:p>
    <w:p>
      <w:pPr>
        <w:keepNext w:val="0"/>
        <w:keepLines w:val="0"/>
        <w:pageBreakBefore w:val="0"/>
        <w:numPr>
          <w:ilvl w:val="0"/>
          <w:numId w:val="3"/>
        </w:numPr>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b w:val="0"/>
          <w:bCs/>
          <w:color w:val="000000"/>
          <w:sz w:val="32"/>
          <w:szCs w:val="32"/>
          <w:highlight w:val="none"/>
          <w:u w:val="none"/>
        </w:rPr>
      </w:pPr>
      <w:r>
        <w:rPr>
          <w:rFonts w:hint="eastAsia" w:ascii="楷体" w:hAnsi="楷体" w:eastAsia="楷体" w:cs="楷体"/>
          <w:b w:val="0"/>
          <w:bCs/>
          <w:color w:val="000000"/>
          <w:sz w:val="32"/>
          <w:szCs w:val="32"/>
          <w:highlight w:val="none"/>
          <w:u w:val="none"/>
        </w:rPr>
        <w:t>部门决算中项目绩效自评结果</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000000"/>
          <w:sz w:val="32"/>
          <w:szCs w:val="32"/>
          <w:highlight w:val="none"/>
          <w:u w:val="none"/>
          <w:lang w:val="en-US" w:eastAsia="zh-CN"/>
        </w:rPr>
      </w:pPr>
      <w:r>
        <w:rPr>
          <w:rFonts w:hint="eastAsia" w:ascii="仿宋_GB2312" w:eastAsia="仿宋_GB2312"/>
          <w:color w:val="000000"/>
          <w:sz w:val="32"/>
          <w:szCs w:val="32"/>
          <w:highlight w:val="none"/>
          <w:u w:val="none"/>
          <w:lang w:val="en-US" w:eastAsia="zh-CN"/>
        </w:rPr>
        <w:t>三亚市财政局对我单位开展2022年重点项目绩效评价，在部门决算中反映2022年三亚中心医院改扩建项目和高端CT等医疗设备采购项目项目绩效自评结果（包括项目绩效自评表和项目绩效自评报告）。</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000000"/>
          <w:sz w:val="32"/>
          <w:szCs w:val="32"/>
          <w:highlight w:val="none"/>
          <w:u w:val="none"/>
          <w:lang w:val="en-US" w:eastAsia="zh-CN"/>
        </w:rPr>
      </w:pPr>
      <w:r>
        <w:rPr>
          <w:rFonts w:hint="eastAsia" w:ascii="仿宋_GB2312" w:eastAsia="仿宋_GB2312"/>
          <w:color w:val="000000"/>
          <w:sz w:val="32"/>
          <w:szCs w:val="32"/>
          <w:highlight w:val="none"/>
          <w:u w:val="none"/>
          <w:lang w:val="en-US" w:eastAsia="zh-CN"/>
        </w:rPr>
        <w:t>2022年三亚中心医院改扩建项目和高端CT等医疗设备采购项目项目绩效自评表：</w:t>
      </w:r>
    </w:p>
    <w:p>
      <w:pPr>
        <w:ind w:firstLine="640" w:firstLineChars="200"/>
        <w:jc w:val="left"/>
        <w:rPr>
          <w:rFonts w:hint="eastAsia" w:ascii="仿宋_GB2312" w:hAnsi="仿宋_GB2312" w:eastAsia="仿宋_GB2312" w:cs="仿宋_GB2312"/>
          <w:color w:val="000000"/>
          <w:sz w:val="32"/>
          <w:szCs w:val="32"/>
          <w:u w:val="none"/>
          <w:lang w:val="en-US" w:eastAsia="zh-CN"/>
        </w:rPr>
      </w:pPr>
      <w:r>
        <w:rPr>
          <w:rFonts w:hint="eastAsia" w:ascii="仿宋_GB2312" w:eastAsia="仿宋_GB2312"/>
          <w:color w:val="000000"/>
          <w:sz w:val="32"/>
          <w:szCs w:val="32"/>
          <w:highlight w:val="none"/>
          <w:u w:val="none"/>
          <w:lang w:val="en-US" w:eastAsia="zh-CN"/>
        </w:rPr>
        <w:t>2022年三亚中心医院改扩建项目和高端CT等医疗设备采购项目</w:t>
      </w:r>
      <w:r>
        <w:rPr>
          <w:rFonts w:hint="eastAsia" w:ascii="仿宋_GB2312" w:eastAsia="仿宋_GB2312"/>
          <w:color w:val="000000"/>
          <w:sz w:val="32"/>
          <w:szCs w:val="32"/>
          <w:highlight w:val="none"/>
          <w:u w:val="none"/>
          <w:lang w:eastAsia="zh-CN"/>
        </w:rPr>
        <w:t>项目绩效自评报告：</w:t>
      </w:r>
      <w:r>
        <w:rPr>
          <w:rFonts w:hint="eastAsia" w:ascii="仿宋_GB2312" w:eastAsia="仿宋_GB2312"/>
          <w:color w:val="000000"/>
          <w:sz w:val="32"/>
          <w:szCs w:val="32"/>
          <w:highlight w:val="none"/>
          <w:u w:val="none"/>
        </w:rPr>
        <w:t>根据年初设定的绩效目标，项目</w:t>
      </w:r>
      <w:r>
        <w:rPr>
          <w:rFonts w:hint="eastAsia" w:ascii="仿宋_GB2312" w:eastAsia="仿宋_GB2312"/>
          <w:color w:val="000000"/>
          <w:sz w:val="32"/>
          <w:szCs w:val="32"/>
          <w:highlight w:val="none"/>
          <w:u w:val="none"/>
          <w:lang w:eastAsia="zh-CN"/>
        </w:rPr>
        <w:t>绩效</w:t>
      </w:r>
      <w:r>
        <w:rPr>
          <w:rFonts w:hint="eastAsia" w:ascii="仿宋_GB2312" w:eastAsia="仿宋_GB2312"/>
          <w:color w:val="000000"/>
          <w:sz w:val="32"/>
          <w:szCs w:val="32"/>
          <w:highlight w:val="none"/>
          <w:u w:val="none"/>
        </w:rPr>
        <w:t>自评得分为94.25分</w:t>
      </w:r>
      <w:r>
        <w:rPr>
          <w:rFonts w:hint="eastAsia" w:ascii="仿宋_GB2312" w:eastAsia="仿宋_GB2312"/>
          <w:color w:val="000000"/>
          <w:sz w:val="32"/>
          <w:szCs w:val="32"/>
          <w:highlight w:val="none"/>
          <w:u w:val="none"/>
          <w:lang w:eastAsia="zh-CN"/>
        </w:rPr>
        <w:t>。全年预算数为</w:t>
      </w:r>
      <w:r>
        <w:rPr>
          <w:rFonts w:hint="eastAsia" w:ascii="仿宋_GB2312" w:eastAsia="仿宋_GB2312"/>
          <w:color w:val="000000"/>
          <w:sz w:val="32"/>
          <w:szCs w:val="32"/>
          <w:highlight w:val="none"/>
          <w:u w:val="none"/>
          <w:lang w:val="en-US" w:eastAsia="zh-CN"/>
        </w:rPr>
        <w:t>21703.78</w:t>
      </w:r>
      <w:r>
        <w:rPr>
          <w:rFonts w:hint="eastAsia" w:ascii="仿宋_GB2312" w:eastAsia="仿宋_GB2312"/>
          <w:color w:val="000000"/>
          <w:sz w:val="32"/>
          <w:szCs w:val="32"/>
          <w:highlight w:val="none"/>
          <w:u w:val="none"/>
          <w:lang w:eastAsia="zh-CN"/>
        </w:rPr>
        <w:t>万元，执行数为</w:t>
      </w:r>
      <w:r>
        <w:rPr>
          <w:rFonts w:hint="eastAsia" w:ascii="仿宋_GB2312" w:eastAsia="仿宋_GB2312"/>
          <w:color w:val="000000"/>
          <w:sz w:val="32"/>
          <w:szCs w:val="32"/>
          <w:highlight w:val="none"/>
          <w:u w:val="none"/>
          <w:lang w:val="en-US" w:eastAsia="zh-CN"/>
        </w:rPr>
        <w:t>21703.78</w:t>
      </w:r>
      <w:r>
        <w:rPr>
          <w:rFonts w:hint="eastAsia" w:ascii="仿宋_GB2312" w:eastAsia="仿宋_GB2312"/>
          <w:color w:val="000000"/>
          <w:sz w:val="32"/>
          <w:szCs w:val="32"/>
          <w:highlight w:val="none"/>
          <w:u w:val="none"/>
          <w:lang w:eastAsia="zh-CN"/>
        </w:rPr>
        <w:t>万元，完成预算的</w:t>
      </w:r>
      <w:r>
        <w:rPr>
          <w:rFonts w:hint="eastAsia" w:ascii="仿宋_GB2312" w:eastAsia="仿宋_GB2312"/>
          <w:color w:val="000000"/>
          <w:sz w:val="32"/>
          <w:szCs w:val="32"/>
          <w:highlight w:val="none"/>
          <w:u w:val="none"/>
          <w:lang w:val="en-US" w:eastAsia="zh-CN"/>
        </w:rPr>
        <w:t>100%。项目绩效目标完成情况：</w:t>
      </w:r>
      <w:r>
        <w:rPr>
          <w:rFonts w:hint="eastAsia" w:ascii="仿宋_GB2312" w:hAnsi="仿宋_GB2312" w:eastAsia="仿宋_GB2312" w:cs="仿宋_GB2312"/>
          <w:color w:val="000000"/>
          <w:sz w:val="32"/>
          <w:szCs w:val="32"/>
          <w:u w:val="none"/>
        </w:rPr>
        <w:t>一、改扩建</w:t>
      </w:r>
      <w:r>
        <w:rPr>
          <w:rFonts w:hint="eastAsia" w:ascii="仿宋_GB2312" w:hAnsi="仿宋_GB2312" w:eastAsia="仿宋_GB2312" w:cs="仿宋_GB2312"/>
          <w:color w:val="000000"/>
          <w:sz w:val="32"/>
          <w:szCs w:val="32"/>
          <w:highlight w:val="none"/>
          <w:u w:val="none"/>
        </w:rPr>
        <w:t>项目（一期）：</w:t>
      </w:r>
      <w:r>
        <w:rPr>
          <w:rFonts w:hint="eastAsia" w:ascii="仿宋_GB2312" w:hAnsi="仿宋_GB2312" w:eastAsia="仿宋_GB2312" w:cs="仿宋_GB2312"/>
          <w:color w:val="000000"/>
          <w:sz w:val="32"/>
          <w:szCs w:val="32"/>
          <w:highlight w:val="none"/>
          <w:u w:val="none"/>
          <w:lang w:val="en-US" w:eastAsia="zh-CN"/>
        </w:rPr>
        <w:t>未完成</w:t>
      </w:r>
      <w:r>
        <w:rPr>
          <w:rFonts w:hint="eastAsia" w:ascii="仿宋_GB2312" w:hAnsi="仿宋_GB2312" w:eastAsia="仿宋_GB2312" w:cs="仿宋_GB2312"/>
          <w:color w:val="000000"/>
          <w:sz w:val="32"/>
          <w:szCs w:val="32"/>
          <w:highlight w:val="none"/>
          <w:u w:val="none"/>
          <w:lang w:eastAsia="zh-CN"/>
        </w:rPr>
        <w:t>东方海景大酒店</w:t>
      </w:r>
      <w:r>
        <w:rPr>
          <w:rFonts w:hint="eastAsia" w:ascii="仿宋_GB2312" w:hAnsi="仿宋_GB2312" w:eastAsia="仿宋_GB2312" w:cs="仿宋_GB2312"/>
          <w:color w:val="000000"/>
          <w:sz w:val="32"/>
          <w:szCs w:val="32"/>
          <w:highlight w:val="none"/>
          <w:u w:val="none"/>
        </w:rPr>
        <w:t>及现状门诊等16栋建筑物</w:t>
      </w:r>
      <w:r>
        <w:rPr>
          <w:rFonts w:hint="eastAsia" w:ascii="仿宋_GB2312" w:hAnsi="仿宋_GB2312" w:eastAsia="仿宋_GB2312" w:cs="仿宋_GB2312"/>
          <w:color w:val="000000"/>
          <w:sz w:val="32"/>
          <w:szCs w:val="32"/>
          <w:highlight w:val="none"/>
          <w:u w:val="none"/>
          <w:lang w:val="en-US" w:eastAsia="zh-CN"/>
        </w:rPr>
        <w:t>的</w:t>
      </w:r>
      <w:r>
        <w:rPr>
          <w:rFonts w:hint="eastAsia" w:ascii="仿宋_GB2312" w:hAnsi="仿宋_GB2312" w:eastAsia="仿宋_GB2312" w:cs="仿宋_GB2312"/>
          <w:color w:val="000000"/>
          <w:sz w:val="32"/>
          <w:szCs w:val="32"/>
          <w:highlight w:val="none"/>
          <w:u w:val="none"/>
        </w:rPr>
        <w:t>拆除</w:t>
      </w:r>
      <w:r>
        <w:rPr>
          <w:rFonts w:hint="eastAsia" w:ascii="仿宋_GB2312" w:hAnsi="仿宋_GB2312" w:eastAsia="仿宋_GB2312" w:cs="仿宋_GB2312"/>
          <w:color w:val="000000"/>
          <w:sz w:val="32"/>
          <w:szCs w:val="32"/>
          <w:highlight w:val="none"/>
          <w:u w:val="none"/>
          <w:lang w:val="en-US" w:eastAsia="zh-CN"/>
        </w:rPr>
        <w:t>工作</w:t>
      </w:r>
      <w:r>
        <w:rPr>
          <w:rFonts w:hint="eastAsia" w:ascii="仿宋_GB2312" w:hAnsi="仿宋_GB2312" w:eastAsia="仿宋_GB2312" w:cs="仿宋_GB2312"/>
          <w:color w:val="000000"/>
          <w:sz w:val="32"/>
          <w:szCs w:val="32"/>
          <w:highlight w:val="none"/>
          <w:u w:val="none"/>
        </w:rPr>
        <w:t>；</w:t>
      </w:r>
      <w:r>
        <w:rPr>
          <w:rFonts w:hint="eastAsia" w:ascii="仿宋_GB2312" w:hAnsi="仿宋_GB2312" w:eastAsia="仿宋_GB2312" w:cs="仿宋_GB2312"/>
          <w:color w:val="000000"/>
          <w:sz w:val="32"/>
          <w:szCs w:val="32"/>
          <w:u w:val="none"/>
          <w:lang w:val="en-US" w:eastAsia="zh-CN"/>
        </w:rPr>
        <w:t>未完成</w:t>
      </w:r>
      <w:r>
        <w:rPr>
          <w:rFonts w:hint="eastAsia" w:ascii="仿宋_GB2312" w:hAnsi="仿宋_GB2312" w:eastAsia="仿宋_GB2312" w:cs="仿宋_GB2312"/>
          <w:color w:val="000000"/>
          <w:sz w:val="32"/>
          <w:szCs w:val="32"/>
          <w:u w:val="none"/>
        </w:rPr>
        <w:t>原有外科楼、科教楼及门诊楼的部分配套功能</w:t>
      </w:r>
      <w:r>
        <w:rPr>
          <w:rFonts w:hint="eastAsia" w:ascii="仿宋_GB2312" w:hAnsi="仿宋_GB2312" w:eastAsia="仿宋_GB2312" w:cs="仿宋_GB2312"/>
          <w:color w:val="000000"/>
          <w:sz w:val="32"/>
          <w:szCs w:val="32"/>
          <w:u w:val="none"/>
          <w:lang w:val="en-US" w:eastAsia="zh-CN"/>
        </w:rPr>
        <w:t>的</w:t>
      </w:r>
      <w:r>
        <w:rPr>
          <w:rFonts w:hint="eastAsia" w:ascii="仿宋_GB2312" w:hAnsi="仿宋_GB2312" w:eastAsia="仿宋_GB2312" w:cs="仿宋_GB2312"/>
          <w:color w:val="000000"/>
          <w:sz w:val="32"/>
          <w:szCs w:val="32"/>
          <w:u w:val="none"/>
        </w:rPr>
        <w:t>改建</w:t>
      </w:r>
      <w:r>
        <w:rPr>
          <w:rFonts w:hint="eastAsia" w:ascii="仿宋_GB2312" w:hAnsi="仿宋_GB2312" w:eastAsia="仿宋_GB2312" w:cs="仿宋_GB2312"/>
          <w:color w:val="000000"/>
          <w:sz w:val="32"/>
          <w:szCs w:val="32"/>
          <w:u w:val="none"/>
          <w:lang w:val="en-US" w:eastAsia="zh-CN"/>
        </w:rPr>
        <w:t>工作</w:t>
      </w:r>
      <w:r>
        <w:rPr>
          <w:rFonts w:hint="eastAsia" w:ascii="仿宋_GB2312" w:hAnsi="仿宋_GB2312" w:eastAsia="仿宋_GB2312" w:cs="仿宋_GB2312"/>
          <w:color w:val="000000"/>
          <w:sz w:val="32"/>
          <w:szCs w:val="32"/>
          <w:u w:val="none"/>
        </w:rPr>
        <w:t>及相关医疗设备</w:t>
      </w:r>
      <w:r>
        <w:rPr>
          <w:rFonts w:hint="eastAsia" w:ascii="仿宋_GB2312" w:hAnsi="仿宋_GB2312" w:eastAsia="仿宋_GB2312" w:cs="仿宋_GB2312"/>
          <w:color w:val="000000"/>
          <w:sz w:val="32"/>
          <w:szCs w:val="32"/>
          <w:u w:val="none"/>
          <w:lang w:val="en-US" w:eastAsia="zh-CN"/>
        </w:rPr>
        <w:t>的</w:t>
      </w:r>
      <w:r>
        <w:rPr>
          <w:rFonts w:hint="eastAsia" w:ascii="仿宋_GB2312" w:hAnsi="仿宋_GB2312" w:eastAsia="仿宋_GB2312" w:cs="仿宋_GB2312"/>
          <w:color w:val="000000"/>
          <w:sz w:val="32"/>
          <w:szCs w:val="32"/>
          <w:u w:val="none"/>
        </w:rPr>
        <w:t>采购</w:t>
      </w:r>
      <w:r>
        <w:rPr>
          <w:rFonts w:hint="eastAsia" w:ascii="仿宋_GB2312" w:hAnsi="仿宋_GB2312" w:eastAsia="仿宋_GB2312" w:cs="仿宋_GB2312"/>
          <w:color w:val="000000"/>
          <w:sz w:val="32"/>
          <w:szCs w:val="32"/>
          <w:u w:val="none"/>
          <w:lang w:val="en-US" w:eastAsia="zh-CN"/>
        </w:rPr>
        <w:t>工作</w:t>
      </w:r>
      <w:r>
        <w:rPr>
          <w:rFonts w:hint="eastAsia" w:ascii="仿宋_GB2312" w:hAnsi="仿宋_GB2312" w:eastAsia="仿宋_GB2312" w:cs="仿宋_GB2312"/>
          <w:color w:val="000000"/>
          <w:sz w:val="32"/>
          <w:szCs w:val="32"/>
          <w:u w:val="none"/>
        </w:rPr>
        <w:t>；</w:t>
      </w:r>
      <w:r>
        <w:rPr>
          <w:rFonts w:hint="eastAsia" w:ascii="仿宋_GB2312" w:hAnsi="仿宋_GB2312" w:eastAsia="仿宋_GB2312" w:cs="仿宋_GB2312"/>
          <w:color w:val="000000"/>
          <w:sz w:val="32"/>
          <w:szCs w:val="32"/>
          <w:u w:val="none"/>
          <w:lang w:val="en-US" w:eastAsia="zh-CN"/>
        </w:rPr>
        <w:t>未完成</w:t>
      </w:r>
      <w:r>
        <w:rPr>
          <w:rFonts w:hint="eastAsia" w:ascii="仿宋_GB2312" w:hAnsi="仿宋_GB2312" w:eastAsia="仿宋_GB2312" w:cs="仿宋_GB2312"/>
          <w:color w:val="000000"/>
          <w:sz w:val="32"/>
          <w:szCs w:val="32"/>
          <w:u w:val="none"/>
        </w:rPr>
        <w:t>项目规划总用地面积82127平方米（约123.19</w:t>
      </w:r>
      <w:r>
        <w:rPr>
          <w:rFonts w:hint="eastAsia" w:ascii="仿宋_GB2312" w:hAnsi="仿宋_GB2312" w:eastAsia="仿宋_GB2312" w:cs="仿宋_GB2312"/>
          <w:color w:val="000000"/>
          <w:sz w:val="32"/>
          <w:szCs w:val="32"/>
          <w:u w:val="none"/>
          <w:lang w:val="en-US" w:eastAsia="zh-CN"/>
        </w:rPr>
        <w:t>亩</w:t>
      </w:r>
      <w:r>
        <w:rPr>
          <w:rFonts w:hint="eastAsia" w:ascii="仿宋_GB2312" w:hAnsi="仿宋_GB2312" w:eastAsia="仿宋_GB2312" w:cs="仿宋_GB2312"/>
          <w:color w:val="000000"/>
          <w:sz w:val="32"/>
          <w:szCs w:val="32"/>
          <w:u w:val="none"/>
        </w:rPr>
        <w:t>），拟建总建筑面积为268800平方米，其中地上建筑面积155700平方米，包括新建门诊医技楼、住院楼、科研楼、实验楼、感染楼、行政保障楼，附属用房、宿舍楼；同时配套建设污水处理站、停车位以及电气、给排水、消防、暖道、道路硬化、绿化附属工程</w:t>
      </w:r>
      <w:r>
        <w:rPr>
          <w:rFonts w:hint="eastAsia" w:ascii="仿宋_GB2312" w:hAnsi="仿宋_GB2312" w:eastAsia="仿宋_GB2312" w:cs="仿宋_GB2312"/>
          <w:color w:val="000000"/>
          <w:sz w:val="32"/>
          <w:szCs w:val="32"/>
          <w:u w:val="none"/>
          <w:lang w:val="en-US" w:eastAsia="zh-CN"/>
        </w:rPr>
        <w:t>的建设工作。</w:t>
      </w:r>
    </w:p>
    <w:p>
      <w:pPr>
        <w:keepNext w:val="0"/>
        <w:keepLines w:val="0"/>
        <w:pageBreakBefore w:val="0"/>
        <w:numPr>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sz w:val="32"/>
          <w:szCs w:val="32"/>
          <w:u w:val="none"/>
          <w:lang w:eastAsia="zh-CN"/>
        </w:rPr>
      </w:pPr>
      <w:r>
        <w:rPr>
          <w:rFonts w:hint="eastAsia" w:ascii="仿宋_GB2312" w:hAnsi="仿宋_GB2312" w:eastAsia="仿宋_GB2312" w:cs="仿宋_GB2312"/>
          <w:color w:val="000000"/>
          <w:sz w:val="32"/>
          <w:szCs w:val="32"/>
          <w:u w:val="none"/>
        </w:rPr>
        <w:t>高端CT等医疗设备采购项目：</w:t>
      </w:r>
      <w:r>
        <w:rPr>
          <w:rFonts w:hint="eastAsia" w:ascii="仿宋_GB2312" w:hAnsi="仿宋_GB2312" w:eastAsia="仿宋_GB2312" w:cs="仿宋_GB2312"/>
          <w:color w:val="000000"/>
          <w:sz w:val="32"/>
          <w:szCs w:val="32"/>
          <w:u w:val="none"/>
          <w:lang w:val="en-US" w:eastAsia="zh-CN"/>
        </w:rPr>
        <w:t>已</w:t>
      </w:r>
      <w:r>
        <w:rPr>
          <w:rFonts w:hint="eastAsia" w:ascii="仿宋_GB2312" w:hAnsi="仿宋_GB2312" w:eastAsia="仿宋_GB2312" w:cs="仿宋_GB2312"/>
          <w:color w:val="000000"/>
          <w:sz w:val="32"/>
          <w:szCs w:val="32"/>
          <w:u w:val="none"/>
        </w:rPr>
        <w:t>完成14台医疗设备的采购工作。</w:t>
      </w:r>
      <w:r>
        <w:rPr>
          <w:rFonts w:hint="eastAsia" w:ascii="仿宋_GB2312" w:eastAsia="仿宋_GB2312"/>
          <w:color w:val="000000"/>
          <w:sz w:val="32"/>
          <w:szCs w:val="32"/>
          <w:highlight w:val="none"/>
          <w:lang w:val="en-US" w:eastAsia="zh-CN"/>
        </w:rPr>
        <w:t>发现的主要问题及原因：</w:t>
      </w:r>
      <w:r>
        <w:rPr>
          <w:rFonts w:hint="eastAsia" w:ascii="仿宋_GB2312" w:hAnsi="仿宋_GB2312" w:eastAsia="仿宋_GB2312" w:cs="仿宋_GB2312"/>
          <w:color w:val="000000"/>
          <w:sz w:val="32"/>
          <w:szCs w:val="32"/>
          <w:u w:val="none"/>
        </w:rPr>
        <w:t>（</w:t>
      </w:r>
      <w:r>
        <w:rPr>
          <w:rFonts w:hint="eastAsia" w:ascii="仿宋_GB2312" w:hAnsi="仿宋_GB2312" w:eastAsia="仿宋_GB2312" w:cs="仿宋_GB2312"/>
          <w:color w:val="000000"/>
          <w:sz w:val="32"/>
          <w:szCs w:val="32"/>
          <w:u w:val="none"/>
          <w:lang w:val="en-US" w:eastAsia="zh-CN"/>
        </w:rPr>
        <w:t>1</w:t>
      </w:r>
      <w:r>
        <w:rPr>
          <w:rFonts w:hint="eastAsia" w:ascii="仿宋_GB2312" w:hAnsi="仿宋_GB2312" w:eastAsia="仿宋_GB2312" w:cs="仿宋_GB2312"/>
          <w:color w:val="000000"/>
          <w:sz w:val="32"/>
          <w:szCs w:val="32"/>
          <w:u w:val="none"/>
        </w:rPr>
        <w:t>）项目管理方面：1.</w:t>
      </w:r>
      <w:r>
        <w:rPr>
          <w:rFonts w:hint="eastAsia" w:ascii="仿宋_GB2312" w:hAnsi="仿宋_GB2312" w:eastAsia="仿宋_GB2312" w:cs="仿宋_GB2312"/>
          <w:color w:val="000000"/>
          <w:sz w:val="32"/>
          <w:szCs w:val="32"/>
        </w:rPr>
        <w:t>设备采购项目未</w:t>
      </w:r>
      <w:r>
        <w:rPr>
          <w:rFonts w:hint="eastAsia" w:ascii="仿宋_GB2312" w:hAnsi="仿宋_GB2312" w:eastAsia="仿宋_GB2312" w:cs="仿宋_GB2312"/>
          <w:color w:val="000000"/>
          <w:sz w:val="32"/>
          <w:szCs w:val="32"/>
          <w:lang w:val="en-US" w:eastAsia="zh-CN"/>
        </w:rPr>
        <w:t>按</w:t>
      </w:r>
      <w:r>
        <w:rPr>
          <w:rFonts w:hint="eastAsia" w:ascii="仿宋_GB2312" w:hAnsi="仿宋_GB2312" w:eastAsia="仿宋_GB2312" w:cs="仿宋_GB2312"/>
          <w:color w:val="000000"/>
          <w:sz w:val="32"/>
          <w:szCs w:val="32"/>
        </w:rPr>
        <w:t>时完成</w:t>
      </w:r>
      <w:r>
        <w:rPr>
          <w:rFonts w:hint="eastAsia" w:ascii="仿宋_GB2312" w:hAnsi="仿宋_GB2312" w:eastAsia="仿宋_GB2312" w:cs="仿宋_GB2312"/>
          <w:color w:val="000000"/>
          <w:sz w:val="32"/>
          <w:szCs w:val="32"/>
          <w:u w:val="none"/>
        </w:rPr>
        <w:t>；2.</w:t>
      </w:r>
      <w:r>
        <w:rPr>
          <w:rFonts w:hint="eastAsia" w:ascii="仿宋_GB2312" w:hAnsi="仿宋_GB2312" w:eastAsia="仿宋_GB2312" w:cs="仿宋_GB2312"/>
          <w:color w:val="000000"/>
          <w:sz w:val="32"/>
          <w:szCs w:val="32"/>
          <w:u w:val="none"/>
          <w:lang w:val="en-US" w:eastAsia="zh-CN"/>
        </w:rPr>
        <w:t>改扩建</w:t>
      </w:r>
      <w:r>
        <w:rPr>
          <w:rFonts w:hint="eastAsia" w:ascii="仿宋_GB2312" w:hAnsi="仿宋_GB2312" w:eastAsia="仿宋_GB2312" w:cs="仿宋_GB2312"/>
          <w:color w:val="000000"/>
          <w:sz w:val="32"/>
          <w:szCs w:val="32"/>
          <w:u w:val="none"/>
        </w:rPr>
        <w:t>项目未</w:t>
      </w:r>
      <w:r>
        <w:rPr>
          <w:rFonts w:hint="eastAsia" w:ascii="仿宋_GB2312" w:hAnsi="仿宋_GB2312" w:eastAsia="仿宋_GB2312" w:cs="仿宋_GB2312"/>
          <w:color w:val="000000"/>
          <w:sz w:val="32"/>
          <w:szCs w:val="32"/>
          <w:u w:val="none"/>
          <w:lang w:val="en-US" w:eastAsia="zh-CN"/>
        </w:rPr>
        <w:t>办理移交手续</w:t>
      </w:r>
      <w:r>
        <w:rPr>
          <w:rFonts w:hint="eastAsia" w:ascii="仿宋_GB2312" w:hAnsi="仿宋_GB2312" w:eastAsia="仿宋_GB2312" w:cs="仿宋_GB2312"/>
          <w:color w:val="000000"/>
          <w:sz w:val="32"/>
          <w:szCs w:val="32"/>
          <w:u w:val="none"/>
        </w:rPr>
        <w:t>。（</w:t>
      </w:r>
      <w:r>
        <w:rPr>
          <w:rFonts w:hint="eastAsia" w:ascii="仿宋_GB2312" w:hAnsi="仿宋_GB2312" w:eastAsia="仿宋_GB2312" w:cs="仿宋_GB2312"/>
          <w:color w:val="000000"/>
          <w:sz w:val="32"/>
          <w:szCs w:val="32"/>
          <w:u w:val="none"/>
          <w:lang w:val="en-US" w:eastAsia="zh-CN"/>
        </w:rPr>
        <w:t>2</w:t>
      </w:r>
      <w:r>
        <w:rPr>
          <w:rFonts w:hint="eastAsia" w:ascii="仿宋_GB2312" w:hAnsi="仿宋_GB2312" w:eastAsia="仿宋_GB2312" w:cs="仿宋_GB2312"/>
          <w:color w:val="000000"/>
          <w:sz w:val="32"/>
          <w:szCs w:val="32"/>
          <w:u w:val="none"/>
        </w:rPr>
        <w:t>）绩效管理方面：1.绩效目标制定不科学</w:t>
      </w:r>
      <w:r>
        <w:rPr>
          <w:rFonts w:hint="eastAsia" w:ascii="仿宋_GB2312" w:hAnsi="仿宋_GB2312" w:eastAsia="仿宋_GB2312" w:cs="仿宋_GB2312"/>
          <w:color w:val="000000"/>
          <w:sz w:val="32"/>
          <w:szCs w:val="32"/>
          <w:u w:val="none"/>
          <w:lang w:eastAsia="zh-CN"/>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b w:val="0"/>
          <w:bCs/>
          <w:color w:val="000000"/>
          <w:sz w:val="32"/>
          <w:szCs w:val="32"/>
          <w:highlight w:val="none"/>
          <w:lang w:val="en-US"/>
        </w:rPr>
      </w:pPr>
      <w:r>
        <w:rPr>
          <w:rFonts w:hint="eastAsia" w:ascii="楷体" w:hAnsi="楷体" w:eastAsia="楷体" w:cs="楷体"/>
          <w:b w:val="0"/>
          <w:bCs/>
          <w:color w:val="000000"/>
          <w:sz w:val="32"/>
          <w:szCs w:val="32"/>
          <w:highlight w:val="none"/>
          <w:lang w:val="en-US" w:eastAsia="zh-CN"/>
        </w:rPr>
        <w:t>（三）</w:t>
      </w:r>
      <w:r>
        <w:rPr>
          <w:rFonts w:hint="eastAsia" w:ascii="楷体" w:hAnsi="楷体" w:eastAsia="楷体" w:cs="楷体"/>
          <w:b w:val="0"/>
          <w:bCs/>
          <w:color w:val="000000"/>
          <w:sz w:val="32"/>
          <w:szCs w:val="32"/>
          <w:highlight w:val="none"/>
          <w:lang w:val="en-US"/>
        </w:rPr>
        <w:t>部门评价结果</w:t>
      </w:r>
      <w:r>
        <w:rPr>
          <w:rFonts w:hint="eastAsia" w:ascii="楷体" w:hAnsi="楷体" w:eastAsia="楷体" w:cs="楷体"/>
          <w:b w:val="0"/>
          <w:bCs/>
          <w:color w:val="000000"/>
          <w:sz w:val="32"/>
          <w:szCs w:val="32"/>
          <w:highlight w:val="none"/>
          <w:lang w:val="en-US" w:eastAsia="zh-CN"/>
        </w:rPr>
        <w:t>（预算部门填写，部门所属单位不需填写）</w:t>
      </w:r>
      <w:r>
        <w:rPr>
          <w:rFonts w:hint="eastAsia" w:ascii="楷体" w:hAnsi="楷体" w:eastAsia="楷体" w:cs="楷体"/>
          <w:b w:val="0"/>
          <w:bCs/>
          <w:color w:val="000000"/>
          <w:sz w:val="32"/>
          <w:szCs w:val="32"/>
          <w:highlight w:val="none"/>
          <w:u w:val="none"/>
        </w:rPr>
        <w:t>。</w:t>
      </w:r>
    </w:p>
    <w:p>
      <w:pPr>
        <w:keepNext w:val="0"/>
        <w:keepLines w:val="0"/>
        <w:pageBreakBefore w:val="0"/>
        <w:numPr>
          <w:numId w:val="0"/>
        </w:numPr>
        <w:kinsoku/>
        <w:wordWrap/>
        <w:overflowPunct/>
        <w:topLinePunct w:val="0"/>
        <w:autoSpaceDE/>
        <w:autoSpaceDN/>
        <w:bidi w:val="0"/>
        <w:adjustRightInd/>
        <w:snapToGrid/>
        <w:spacing w:line="560" w:lineRule="exact"/>
        <w:ind w:leftChars="200"/>
        <w:jc w:val="both"/>
        <w:textAlignment w:val="auto"/>
        <w:rPr>
          <w:rFonts w:hint="eastAsia" w:ascii="楷体" w:hAnsi="楷体" w:eastAsia="楷体" w:cs="楷体"/>
          <w:b w:val="0"/>
          <w:bCs/>
          <w:color w:val="000000"/>
          <w:sz w:val="32"/>
          <w:szCs w:val="32"/>
          <w:highlight w:val="none"/>
          <w:lang w:val="en-US" w:eastAsia="zh-CN"/>
        </w:rPr>
      </w:pPr>
      <w:r>
        <w:rPr>
          <w:rFonts w:hint="eastAsia" w:ascii="楷体" w:hAnsi="楷体" w:eastAsia="楷体" w:cs="楷体"/>
          <w:b w:val="0"/>
          <w:bCs/>
          <w:color w:val="000000"/>
          <w:sz w:val="32"/>
          <w:szCs w:val="32"/>
          <w:highlight w:val="none"/>
          <w:lang w:val="en-US" w:eastAsia="zh-CN"/>
        </w:rPr>
        <w:t xml:space="preserve">   无</w:t>
      </w:r>
    </w:p>
    <w:p>
      <w:pPr>
        <w:keepNext w:val="0"/>
        <w:keepLines w:val="0"/>
        <w:pageBreakBefore w:val="0"/>
        <w:numPr>
          <w:numId w:val="0"/>
        </w:numPr>
        <w:kinsoku/>
        <w:wordWrap/>
        <w:overflowPunct/>
        <w:topLinePunct w:val="0"/>
        <w:autoSpaceDE/>
        <w:autoSpaceDN/>
        <w:bidi w:val="0"/>
        <w:adjustRightInd/>
        <w:snapToGrid/>
        <w:spacing w:line="560" w:lineRule="exact"/>
        <w:ind w:leftChars="200" w:firstLine="320" w:firstLineChars="100"/>
        <w:jc w:val="both"/>
        <w:textAlignment w:val="auto"/>
        <w:rPr>
          <w:rFonts w:hint="eastAsia" w:ascii="楷体" w:hAnsi="楷体" w:eastAsia="楷体" w:cs="楷体"/>
          <w:b w:val="0"/>
          <w:bCs/>
          <w:color w:val="000000"/>
          <w:sz w:val="32"/>
          <w:szCs w:val="32"/>
          <w:highlight w:val="none"/>
          <w:lang w:eastAsia="zh-CN"/>
        </w:rPr>
      </w:pPr>
      <w:r>
        <w:rPr>
          <w:rFonts w:hint="eastAsia" w:ascii="楷体" w:hAnsi="楷体" w:eastAsia="楷体" w:cs="楷体"/>
          <w:b w:val="0"/>
          <w:bCs/>
          <w:color w:val="000000"/>
          <w:sz w:val="32"/>
          <w:szCs w:val="32"/>
          <w:highlight w:val="none"/>
          <w:lang w:eastAsia="zh-CN"/>
        </w:rPr>
        <w:t>（四）财政评价结果</w:t>
      </w:r>
    </w:p>
    <w:p>
      <w:pPr>
        <w:keepNext w:val="0"/>
        <w:keepLines w:val="0"/>
        <w:pageBreakBefore w:val="0"/>
        <w:numPr>
          <w:numId w:val="0"/>
        </w:numPr>
        <w:kinsoku/>
        <w:wordWrap/>
        <w:overflowPunct/>
        <w:topLinePunct w:val="0"/>
        <w:autoSpaceDE/>
        <w:autoSpaceDN/>
        <w:bidi w:val="0"/>
        <w:adjustRightInd/>
        <w:snapToGrid/>
        <w:spacing w:line="560" w:lineRule="exact"/>
        <w:ind w:leftChars="200"/>
        <w:jc w:val="both"/>
        <w:textAlignment w:val="auto"/>
        <w:rPr>
          <w:rFonts w:hint="default" w:ascii="楷体" w:hAnsi="楷体" w:eastAsia="楷体" w:cs="楷体"/>
          <w:b w:val="0"/>
          <w:bCs/>
          <w:color w:val="000000"/>
          <w:sz w:val="32"/>
          <w:szCs w:val="32"/>
          <w:highlight w:val="none"/>
          <w:lang w:val="en-US" w:eastAsia="zh-CN"/>
        </w:rPr>
      </w:pPr>
      <w:r>
        <w:rPr>
          <w:rFonts w:hint="eastAsia" w:ascii="楷体" w:hAnsi="楷体" w:eastAsia="楷体" w:cs="楷体"/>
          <w:b w:val="0"/>
          <w:bCs/>
          <w:color w:val="000000"/>
          <w:sz w:val="32"/>
          <w:szCs w:val="32"/>
          <w:highlight w:val="none"/>
          <w:lang w:val="en-US" w:eastAsia="zh-CN"/>
        </w:rPr>
        <w:t xml:space="preserve">   无</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Cs/>
          <w:color w:val="000000"/>
          <w:sz w:val="32"/>
          <w:szCs w:val="32"/>
          <w:highlight w:val="none"/>
        </w:rPr>
      </w:pPr>
      <w:r>
        <w:rPr>
          <w:rFonts w:hint="eastAsia" w:ascii="黑体" w:hAnsi="黑体" w:eastAsia="黑体" w:cs="黑体"/>
          <w:bCs/>
          <w:color w:val="000000"/>
          <w:sz w:val="32"/>
          <w:szCs w:val="32"/>
          <w:highlight w:val="none"/>
        </w:rPr>
        <w:t>十一、其他重要事项情况说明</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bCs/>
          <w:color w:val="000000"/>
          <w:sz w:val="32"/>
          <w:szCs w:val="32"/>
          <w:highlight w:val="none"/>
        </w:rPr>
      </w:pPr>
      <w:bookmarkStart w:id="95" w:name="_Toc15262_WPSOffice_Level2"/>
      <w:bookmarkStart w:id="96" w:name="_Toc18325_WPSOffice_Level2"/>
      <w:bookmarkStart w:id="97" w:name="_Toc15565_WPSOffice_Level2"/>
      <w:bookmarkStart w:id="98" w:name="_Toc23598_WPSOffice_Level2"/>
      <w:bookmarkStart w:id="99" w:name="_Toc32639_WPSOffice_Level2"/>
      <w:bookmarkStart w:id="100" w:name="_Toc5978_WPSOffice_Level2"/>
      <w:r>
        <w:rPr>
          <w:rFonts w:hint="eastAsia" w:ascii="楷体" w:hAnsi="楷体" w:eastAsia="楷体" w:cs="楷体"/>
          <w:bCs/>
          <w:color w:val="000000"/>
          <w:sz w:val="32"/>
          <w:szCs w:val="32"/>
          <w:highlight w:val="none"/>
        </w:rPr>
        <w:t>（一）机关运行经费支出情况。</w:t>
      </w:r>
      <w:bookmarkEnd w:id="95"/>
      <w:bookmarkEnd w:id="96"/>
      <w:bookmarkEnd w:id="97"/>
      <w:bookmarkEnd w:id="98"/>
      <w:bookmarkEnd w:id="99"/>
      <w:bookmarkEnd w:id="100"/>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ˎ̥" w:eastAsia="仿宋_GB2312"/>
          <w:color w:val="000000"/>
          <w:sz w:val="32"/>
          <w:szCs w:val="32"/>
          <w:highlight w:val="none"/>
        </w:rPr>
      </w:pPr>
      <w:r>
        <w:rPr>
          <w:rFonts w:hint="eastAsia" w:ascii="仿宋_GB2312" w:hAnsi="ˎ̥" w:eastAsia="仿宋_GB2312"/>
          <w:color w:val="000000"/>
          <w:sz w:val="32"/>
          <w:szCs w:val="32"/>
          <w:highlight w:val="none"/>
        </w:rPr>
        <w:t>2022年度</w:t>
      </w:r>
      <w:r>
        <w:rPr>
          <w:rFonts w:hint="eastAsia" w:ascii="仿宋_GB2312" w:hAnsi="ˎ̥" w:eastAsia="仿宋_GB2312"/>
          <w:color w:val="000000"/>
          <w:sz w:val="32"/>
          <w:szCs w:val="32"/>
          <w:highlight w:val="none"/>
          <w:lang w:eastAsia="zh-CN"/>
        </w:rPr>
        <w:t>三亚中心医院</w:t>
      </w:r>
      <w:r>
        <w:rPr>
          <w:rFonts w:hint="eastAsia" w:ascii="仿宋_GB2312" w:hAnsi="ˎ̥" w:eastAsia="仿宋_GB2312"/>
          <w:color w:val="000000"/>
          <w:sz w:val="32"/>
          <w:szCs w:val="32"/>
          <w:highlight w:val="none"/>
        </w:rPr>
        <w:t>机关运行经费</w:t>
      </w:r>
      <w:r>
        <w:rPr>
          <w:rFonts w:hint="eastAsia" w:ascii="仿宋_GB2312" w:hAnsi="ˎ̥" w:eastAsia="仿宋_GB2312"/>
          <w:color w:val="000000"/>
          <w:sz w:val="32"/>
          <w:szCs w:val="32"/>
          <w:highlight w:val="none"/>
          <w:lang w:val="en-US" w:eastAsia="zh-CN"/>
        </w:rPr>
        <w:t>0</w:t>
      </w:r>
      <w:r>
        <w:rPr>
          <w:rFonts w:hint="eastAsia" w:ascii="仿宋_GB2312" w:hAnsi="ˎ̥" w:eastAsia="仿宋_GB2312"/>
          <w:color w:val="000000"/>
          <w:sz w:val="32"/>
          <w:szCs w:val="32"/>
          <w:highlight w:val="none"/>
        </w:rPr>
        <w:t>万元</w:t>
      </w:r>
      <w:r>
        <w:rPr>
          <w:rFonts w:hint="eastAsia" w:ascii="仿宋_GB2312" w:hAnsi="ˎ̥" w:eastAsia="仿宋_GB2312"/>
          <w:color w:val="000000"/>
          <w:sz w:val="32"/>
          <w:szCs w:val="32"/>
          <w:highlight w:val="none"/>
          <w:lang w:eastAsia="zh-CN"/>
        </w:rPr>
        <w:t>，</w:t>
      </w:r>
      <w:r>
        <w:rPr>
          <w:rFonts w:hint="eastAsia" w:ascii="仿宋_GB2312" w:hAnsi="ˎ̥" w:eastAsia="仿宋_GB2312"/>
          <w:color w:val="000000"/>
          <w:sz w:val="32"/>
          <w:szCs w:val="32"/>
          <w:highlight w:val="none"/>
        </w:rPr>
        <w:t>比年初预算增加</w:t>
      </w:r>
      <w:r>
        <w:rPr>
          <w:rFonts w:hint="eastAsia" w:ascii="仿宋_GB2312" w:hAnsi="ˎ̥" w:eastAsia="仿宋_GB2312"/>
          <w:color w:val="000000"/>
          <w:sz w:val="32"/>
          <w:szCs w:val="32"/>
          <w:highlight w:val="none"/>
          <w:lang w:val="en-US" w:eastAsia="zh-CN"/>
        </w:rPr>
        <w:t>0</w:t>
      </w:r>
      <w:r>
        <w:rPr>
          <w:rFonts w:hint="eastAsia" w:ascii="仿宋_GB2312" w:hAnsi="ˎ̥" w:eastAsia="仿宋_GB2312"/>
          <w:color w:val="000000"/>
          <w:sz w:val="32"/>
          <w:szCs w:val="32"/>
          <w:highlight w:val="none"/>
        </w:rPr>
        <w:t>万元，增长</w:t>
      </w:r>
      <w:r>
        <w:rPr>
          <w:rFonts w:hint="eastAsia" w:ascii="仿宋_GB2312" w:hAnsi="ˎ̥" w:eastAsia="仿宋_GB2312"/>
          <w:color w:val="000000"/>
          <w:sz w:val="32"/>
          <w:szCs w:val="32"/>
          <w:highlight w:val="none"/>
          <w:lang w:val="en-US" w:eastAsia="zh-CN"/>
        </w:rPr>
        <w:t>0</w:t>
      </w:r>
      <w:r>
        <w:rPr>
          <w:rFonts w:hint="eastAsia" w:ascii="仿宋_GB2312" w:hAnsi="ˎ̥" w:eastAsia="仿宋_GB2312"/>
          <w:color w:val="000000"/>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bCs/>
          <w:color w:val="000000"/>
          <w:sz w:val="32"/>
          <w:szCs w:val="32"/>
          <w:highlight w:val="none"/>
        </w:rPr>
      </w:pPr>
      <w:bookmarkStart w:id="101" w:name="_Toc25333_WPSOffice_Level2"/>
      <w:bookmarkStart w:id="102" w:name="_Toc32689_WPSOffice_Level2"/>
      <w:bookmarkStart w:id="103" w:name="_Toc13084_WPSOffice_Level2"/>
      <w:bookmarkStart w:id="104" w:name="_Toc30383_WPSOffice_Level2"/>
      <w:bookmarkStart w:id="105" w:name="_Toc23966_WPSOffice_Level2"/>
      <w:bookmarkStart w:id="106" w:name="_Toc3131_WPSOffice_Level2"/>
      <w:r>
        <w:rPr>
          <w:rFonts w:hint="eastAsia" w:ascii="楷体" w:hAnsi="楷体" w:eastAsia="楷体" w:cs="楷体"/>
          <w:bCs/>
          <w:color w:val="000000"/>
          <w:sz w:val="32"/>
          <w:szCs w:val="32"/>
          <w:highlight w:val="none"/>
        </w:rPr>
        <w:t>（二）政府采购支出情况。</w:t>
      </w:r>
      <w:bookmarkEnd w:id="101"/>
      <w:bookmarkEnd w:id="102"/>
      <w:bookmarkEnd w:id="103"/>
      <w:bookmarkEnd w:id="104"/>
      <w:bookmarkEnd w:id="105"/>
      <w:bookmarkEnd w:id="106"/>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ˎ̥" w:eastAsia="仿宋_GB2312"/>
          <w:color w:val="000000"/>
          <w:sz w:val="32"/>
          <w:szCs w:val="32"/>
          <w:highlight w:val="none"/>
        </w:rPr>
      </w:pPr>
      <w:r>
        <w:rPr>
          <w:rFonts w:hint="eastAsia" w:ascii="仿宋_GB2312" w:hAnsi="ˎ̥" w:eastAsia="仿宋_GB2312"/>
          <w:color w:val="000000"/>
          <w:sz w:val="32"/>
          <w:szCs w:val="32"/>
          <w:highlight w:val="none"/>
        </w:rPr>
        <w:t>2022年度</w:t>
      </w:r>
      <w:r>
        <w:rPr>
          <w:rFonts w:hint="eastAsia" w:ascii="仿宋_GB2312" w:hAnsi="ˎ̥" w:eastAsia="仿宋_GB2312"/>
          <w:color w:val="000000"/>
          <w:sz w:val="32"/>
          <w:szCs w:val="32"/>
          <w:highlight w:val="none"/>
          <w:lang w:eastAsia="zh-CN"/>
        </w:rPr>
        <w:t>三亚中心医院</w:t>
      </w:r>
      <w:r>
        <w:rPr>
          <w:rFonts w:hint="eastAsia" w:ascii="仿宋_GB2312" w:hAnsi="ˎ̥" w:eastAsia="仿宋_GB2312"/>
          <w:color w:val="000000"/>
          <w:sz w:val="32"/>
          <w:szCs w:val="32"/>
          <w:highlight w:val="none"/>
        </w:rPr>
        <w:t>政府采购支出总额</w:t>
      </w:r>
      <w:r>
        <w:rPr>
          <w:rFonts w:hint="eastAsia" w:ascii="仿宋_GB2312" w:hAnsi="ˎ̥" w:eastAsia="仿宋_GB2312"/>
          <w:color w:val="000000"/>
          <w:sz w:val="32"/>
          <w:szCs w:val="32"/>
          <w:highlight w:val="none"/>
          <w:lang w:val="en-US" w:eastAsia="zh-CN"/>
        </w:rPr>
        <w:t>23076</w:t>
      </w:r>
      <w:r>
        <w:rPr>
          <w:rFonts w:hint="eastAsia" w:ascii="仿宋_GB2312" w:hAnsi="ˎ̥" w:eastAsia="仿宋_GB2312"/>
          <w:color w:val="000000"/>
          <w:sz w:val="32"/>
          <w:szCs w:val="32"/>
          <w:highlight w:val="none"/>
        </w:rPr>
        <w:t>万元，其中：政府采购货物支出</w:t>
      </w:r>
      <w:r>
        <w:rPr>
          <w:rFonts w:hint="eastAsia" w:ascii="仿宋_GB2312" w:hAnsi="ˎ̥" w:eastAsia="仿宋_GB2312"/>
          <w:color w:val="000000"/>
          <w:sz w:val="32"/>
          <w:szCs w:val="32"/>
          <w:highlight w:val="none"/>
          <w:lang w:val="en-US" w:eastAsia="zh-CN"/>
        </w:rPr>
        <w:t>23076</w:t>
      </w:r>
      <w:r>
        <w:rPr>
          <w:rFonts w:hint="eastAsia" w:ascii="仿宋_GB2312" w:hAnsi="ˎ̥" w:eastAsia="仿宋_GB2312"/>
          <w:color w:val="000000"/>
          <w:sz w:val="32"/>
          <w:szCs w:val="32"/>
          <w:highlight w:val="none"/>
        </w:rPr>
        <w:t>万元、政府采购工程支出</w:t>
      </w:r>
      <w:r>
        <w:rPr>
          <w:rFonts w:hint="eastAsia" w:ascii="仿宋_GB2312" w:hAnsi="ˎ̥" w:eastAsia="仿宋_GB2312"/>
          <w:color w:val="000000"/>
          <w:sz w:val="32"/>
          <w:szCs w:val="32"/>
          <w:highlight w:val="none"/>
          <w:lang w:val="en-US" w:eastAsia="zh-CN"/>
        </w:rPr>
        <w:t>0</w:t>
      </w:r>
      <w:r>
        <w:rPr>
          <w:rFonts w:hint="eastAsia" w:ascii="仿宋_GB2312" w:hAnsi="ˎ̥" w:eastAsia="仿宋_GB2312"/>
          <w:color w:val="000000"/>
          <w:sz w:val="32"/>
          <w:szCs w:val="32"/>
          <w:highlight w:val="none"/>
        </w:rPr>
        <w:t>万元、政府采购服务支出</w:t>
      </w:r>
      <w:r>
        <w:rPr>
          <w:rFonts w:hint="eastAsia" w:ascii="仿宋_GB2312" w:hAnsi="ˎ̥" w:eastAsia="仿宋_GB2312"/>
          <w:color w:val="000000"/>
          <w:sz w:val="32"/>
          <w:szCs w:val="32"/>
          <w:highlight w:val="none"/>
          <w:lang w:val="en-US" w:eastAsia="zh-CN"/>
        </w:rPr>
        <w:t>0</w:t>
      </w:r>
      <w:r>
        <w:rPr>
          <w:rFonts w:hint="eastAsia" w:ascii="仿宋_GB2312" w:hAnsi="ˎ̥" w:eastAsia="仿宋_GB2312"/>
          <w:color w:val="000000"/>
          <w:sz w:val="32"/>
          <w:szCs w:val="32"/>
          <w:highlight w:val="none"/>
        </w:rPr>
        <w:t>万元。授予中小企业合同金额XX万元，占政府采购支出总额的</w:t>
      </w:r>
      <w:r>
        <w:rPr>
          <w:rFonts w:hint="eastAsia" w:ascii="仿宋_GB2312" w:hAnsi="ˎ̥" w:eastAsia="仿宋_GB2312"/>
          <w:color w:val="000000"/>
          <w:sz w:val="32"/>
          <w:szCs w:val="32"/>
          <w:highlight w:val="none"/>
          <w:lang w:val="en-US" w:eastAsia="zh-CN"/>
        </w:rPr>
        <w:t>0</w:t>
      </w:r>
      <w:r>
        <w:rPr>
          <w:rFonts w:hint="eastAsia" w:ascii="仿宋_GB2312" w:hAnsi="ˎ̥" w:eastAsia="仿宋_GB2312"/>
          <w:color w:val="000000"/>
          <w:sz w:val="32"/>
          <w:szCs w:val="32"/>
          <w:highlight w:val="none"/>
        </w:rPr>
        <w:t>%，其中：授予小微企业合同金额</w:t>
      </w:r>
      <w:r>
        <w:rPr>
          <w:rFonts w:hint="eastAsia" w:ascii="仿宋_GB2312" w:hAnsi="ˎ̥" w:eastAsia="仿宋_GB2312"/>
          <w:color w:val="000000"/>
          <w:sz w:val="32"/>
          <w:szCs w:val="32"/>
          <w:highlight w:val="none"/>
          <w:lang w:val="en-US" w:eastAsia="zh-CN"/>
        </w:rPr>
        <w:t>0</w:t>
      </w:r>
      <w:r>
        <w:rPr>
          <w:rFonts w:hint="eastAsia" w:ascii="仿宋_GB2312" w:hAnsi="ˎ̥" w:eastAsia="仿宋_GB2312"/>
          <w:color w:val="000000"/>
          <w:sz w:val="32"/>
          <w:szCs w:val="32"/>
          <w:highlight w:val="none"/>
        </w:rPr>
        <w:t>万元，占</w:t>
      </w:r>
      <w:r>
        <w:rPr>
          <w:rFonts w:hint="eastAsia" w:ascii="仿宋_GB2312" w:hAnsi="仿宋_GB2312" w:eastAsia="仿宋_GB2312" w:cs="仿宋_GB2312"/>
          <w:color w:val="000000"/>
          <w:kern w:val="0"/>
          <w:sz w:val="32"/>
          <w:szCs w:val="32"/>
          <w:highlight w:val="none"/>
          <w:lang w:bidi="ar"/>
        </w:rPr>
        <w:t>授予中小企业合同金额</w:t>
      </w:r>
      <w:r>
        <w:rPr>
          <w:rFonts w:hint="eastAsia" w:ascii="仿宋_GB2312" w:hAnsi="仿宋_GB2312" w:eastAsia="仿宋_GB2312" w:cs="仿宋_GB2312"/>
          <w:color w:val="000000"/>
          <w:sz w:val="32"/>
          <w:szCs w:val="32"/>
          <w:highlight w:val="none"/>
        </w:rPr>
        <w:t>的</w:t>
      </w:r>
      <w:r>
        <w:rPr>
          <w:rFonts w:hint="eastAsia" w:ascii="仿宋_GB2312" w:hAnsi="ˎ̥" w:eastAsia="仿宋_GB2312"/>
          <w:color w:val="000000"/>
          <w:sz w:val="32"/>
          <w:szCs w:val="32"/>
          <w:highlight w:val="none"/>
          <w:lang w:val="en-US" w:eastAsia="zh-CN"/>
        </w:rPr>
        <w:t>0</w:t>
      </w:r>
      <w:r>
        <w:rPr>
          <w:rFonts w:hint="eastAsia" w:ascii="仿宋_GB2312" w:hAnsi="ˎ̥" w:eastAsia="仿宋_GB2312"/>
          <w:color w:val="000000"/>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bCs/>
          <w:color w:val="000000"/>
          <w:sz w:val="32"/>
          <w:szCs w:val="32"/>
          <w:highlight w:val="none"/>
        </w:rPr>
      </w:pPr>
      <w:bookmarkStart w:id="107" w:name="_Toc19989_WPSOffice_Level2"/>
      <w:bookmarkStart w:id="108" w:name="_Toc29584_WPSOffice_Level2"/>
      <w:bookmarkStart w:id="109" w:name="_Toc527_WPSOffice_Level2"/>
      <w:bookmarkStart w:id="110" w:name="_Toc15129_WPSOffice_Level2"/>
      <w:bookmarkStart w:id="111" w:name="_Toc10902_WPSOffice_Level2"/>
      <w:bookmarkStart w:id="112" w:name="_Toc6016_WPSOffice_Level2"/>
      <w:r>
        <w:rPr>
          <w:rFonts w:hint="eastAsia" w:ascii="楷体" w:hAnsi="楷体" w:eastAsia="楷体" w:cs="楷体"/>
          <w:bCs/>
          <w:color w:val="000000"/>
          <w:sz w:val="32"/>
          <w:szCs w:val="32"/>
          <w:highlight w:val="none"/>
        </w:rPr>
        <w:t>（三）国有资产占用情况。</w:t>
      </w:r>
      <w:bookmarkEnd w:id="107"/>
      <w:bookmarkEnd w:id="108"/>
      <w:bookmarkEnd w:id="109"/>
      <w:bookmarkEnd w:id="110"/>
      <w:bookmarkEnd w:id="111"/>
      <w:bookmarkEnd w:id="112"/>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ˎ̥" w:eastAsia="仿宋_GB2312"/>
          <w:color w:val="000000"/>
          <w:sz w:val="32"/>
          <w:szCs w:val="32"/>
          <w:highlight w:val="none"/>
        </w:rPr>
      </w:pPr>
      <w:r>
        <w:rPr>
          <w:rFonts w:hint="eastAsia" w:ascii="仿宋_GB2312" w:hAnsi="ˎ̥" w:eastAsia="仿宋_GB2312"/>
          <w:bCs/>
          <w:color w:val="000000"/>
          <w:sz w:val="32"/>
          <w:szCs w:val="32"/>
          <w:highlight w:val="none"/>
        </w:rPr>
        <w:t>截至2022年12月31日，本部门拥有</w:t>
      </w:r>
      <w:r>
        <w:rPr>
          <w:rFonts w:hint="eastAsia" w:ascii="仿宋_GB2312" w:hAnsi="ˎ̥" w:eastAsia="仿宋_GB2312"/>
          <w:color w:val="000000"/>
          <w:sz w:val="32"/>
          <w:szCs w:val="32"/>
          <w:highlight w:val="none"/>
        </w:rPr>
        <w:t>房屋面积76776.26平方米，其中：办公用房3168.41平方米，业务用房72838.89平方米，其他（不含构筑物）768.96平方米。</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ˎ̥" w:eastAsia="仿宋_GB2312"/>
          <w:color w:val="000000"/>
          <w:sz w:val="32"/>
          <w:szCs w:val="32"/>
          <w:highlight w:val="none"/>
        </w:rPr>
      </w:pPr>
      <w:r>
        <w:rPr>
          <w:rFonts w:hint="eastAsia" w:ascii="仿宋_GB2312" w:hAnsi="ˎ̥" w:eastAsia="仿宋_GB2312"/>
          <w:color w:val="000000"/>
          <w:sz w:val="32"/>
          <w:szCs w:val="32"/>
          <w:highlight w:val="none"/>
        </w:rPr>
        <w:t>本部门共有车辆</w:t>
      </w:r>
      <w:r>
        <w:rPr>
          <w:rFonts w:hint="eastAsia" w:ascii="仿宋_GB2312" w:hAnsi="ˎ̥" w:eastAsia="仿宋_GB2312"/>
          <w:color w:val="000000"/>
          <w:sz w:val="32"/>
          <w:szCs w:val="32"/>
          <w:highlight w:val="none"/>
          <w:lang w:val="en-US" w:eastAsia="zh-CN"/>
        </w:rPr>
        <w:t>22</w:t>
      </w:r>
      <w:r>
        <w:rPr>
          <w:rFonts w:hint="eastAsia" w:ascii="仿宋_GB2312" w:hAnsi="ˎ̥" w:eastAsia="仿宋_GB2312"/>
          <w:color w:val="000000"/>
          <w:sz w:val="32"/>
          <w:szCs w:val="32"/>
          <w:highlight w:val="none"/>
        </w:rPr>
        <w:t>辆，其中，副部（省）级及以上领导用车</w:t>
      </w:r>
      <w:r>
        <w:rPr>
          <w:rFonts w:hint="eastAsia" w:ascii="仿宋_GB2312" w:hAnsi="ˎ̥" w:eastAsia="仿宋_GB2312"/>
          <w:color w:val="000000"/>
          <w:sz w:val="32"/>
          <w:szCs w:val="32"/>
          <w:highlight w:val="none"/>
          <w:lang w:val="en-US" w:eastAsia="zh-CN"/>
        </w:rPr>
        <w:t>0</w:t>
      </w:r>
      <w:r>
        <w:rPr>
          <w:rFonts w:hint="eastAsia" w:ascii="仿宋_GB2312" w:hAnsi="ˎ̥" w:eastAsia="仿宋_GB2312"/>
          <w:color w:val="000000"/>
          <w:sz w:val="32"/>
          <w:szCs w:val="32"/>
          <w:highlight w:val="none"/>
        </w:rPr>
        <w:t>辆、主要领导干部用车</w:t>
      </w:r>
      <w:r>
        <w:rPr>
          <w:rFonts w:hint="eastAsia" w:ascii="仿宋_GB2312" w:hAnsi="ˎ̥" w:eastAsia="仿宋_GB2312"/>
          <w:color w:val="000000"/>
          <w:sz w:val="32"/>
          <w:szCs w:val="32"/>
          <w:highlight w:val="none"/>
          <w:lang w:val="en-US" w:eastAsia="zh-CN"/>
        </w:rPr>
        <w:t>0</w:t>
      </w:r>
      <w:r>
        <w:rPr>
          <w:rFonts w:hint="eastAsia" w:ascii="仿宋_GB2312" w:hAnsi="ˎ̥" w:eastAsia="仿宋_GB2312"/>
          <w:color w:val="000000"/>
          <w:sz w:val="32"/>
          <w:szCs w:val="32"/>
          <w:highlight w:val="none"/>
        </w:rPr>
        <w:t>辆、机要通信用车</w:t>
      </w:r>
      <w:r>
        <w:rPr>
          <w:rFonts w:hint="eastAsia" w:ascii="仿宋_GB2312" w:hAnsi="ˎ̥" w:eastAsia="仿宋_GB2312"/>
          <w:color w:val="000000"/>
          <w:sz w:val="32"/>
          <w:szCs w:val="32"/>
          <w:highlight w:val="none"/>
          <w:lang w:val="en-US" w:eastAsia="zh-CN"/>
        </w:rPr>
        <w:t>0</w:t>
      </w:r>
      <w:r>
        <w:rPr>
          <w:rFonts w:hint="eastAsia" w:ascii="仿宋_GB2312" w:hAnsi="ˎ̥" w:eastAsia="仿宋_GB2312"/>
          <w:color w:val="000000"/>
          <w:sz w:val="32"/>
          <w:szCs w:val="32"/>
          <w:highlight w:val="none"/>
        </w:rPr>
        <w:t>辆、应急保障用车</w:t>
      </w:r>
      <w:r>
        <w:rPr>
          <w:rFonts w:hint="eastAsia" w:ascii="仿宋_GB2312" w:hAnsi="ˎ̥" w:eastAsia="仿宋_GB2312"/>
          <w:color w:val="000000"/>
          <w:sz w:val="32"/>
          <w:szCs w:val="32"/>
          <w:highlight w:val="none"/>
          <w:lang w:val="en-US" w:eastAsia="zh-CN"/>
        </w:rPr>
        <w:t>0</w:t>
      </w:r>
      <w:r>
        <w:rPr>
          <w:rFonts w:hint="eastAsia" w:ascii="仿宋_GB2312" w:hAnsi="ˎ̥" w:eastAsia="仿宋_GB2312"/>
          <w:color w:val="000000"/>
          <w:sz w:val="32"/>
          <w:szCs w:val="32"/>
          <w:highlight w:val="none"/>
        </w:rPr>
        <w:t>辆、执法执勤用车</w:t>
      </w:r>
      <w:r>
        <w:rPr>
          <w:rFonts w:hint="eastAsia" w:ascii="仿宋_GB2312" w:hAnsi="ˎ̥" w:eastAsia="仿宋_GB2312"/>
          <w:color w:val="000000"/>
          <w:sz w:val="32"/>
          <w:szCs w:val="32"/>
          <w:highlight w:val="none"/>
          <w:lang w:val="en-US" w:eastAsia="zh-CN"/>
        </w:rPr>
        <w:t>0</w:t>
      </w:r>
      <w:r>
        <w:rPr>
          <w:rFonts w:hint="eastAsia" w:ascii="仿宋_GB2312" w:hAnsi="ˎ̥" w:eastAsia="仿宋_GB2312"/>
          <w:color w:val="000000"/>
          <w:sz w:val="32"/>
          <w:szCs w:val="32"/>
          <w:highlight w:val="none"/>
        </w:rPr>
        <w:t>辆、特种专业技术用车</w:t>
      </w:r>
      <w:r>
        <w:rPr>
          <w:rFonts w:hint="eastAsia" w:ascii="仿宋_GB2312" w:hAnsi="ˎ̥" w:eastAsia="仿宋_GB2312"/>
          <w:color w:val="000000"/>
          <w:sz w:val="32"/>
          <w:szCs w:val="32"/>
          <w:highlight w:val="none"/>
          <w:lang w:val="en-US" w:eastAsia="zh-CN"/>
        </w:rPr>
        <w:t>17</w:t>
      </w:r>
      <w:r>
        <w:rPr>
          <w:rFonts w:hint="eastAsia" w:ascii="仿宋_GB2312" w:hAnsi="ˎ̥" w:eastAsia="仿宋_GB2312"/>
          <w:color w:val="000000"/>
          <w:sz w:val="32"/>
          <w:szCs w:val="32"/>
          <w:highlight w:val="none"/>
        </w:rPr>
        <w:t>辆、离退休干部用车</w:t>
      </w:r>
      <w:r>
        <w:rPr>
          <w:rFonts w:hint="eastAsia" w:ascii="仿宋_GB2312" w:hAnsi="ˎ̥" w:eastAsia="仿宋_GB2312"/>
          <w:color w:val="000000"/>
          <w:sz w:val="32"/>
          <w:szCs w:val="32"/>
          <w:highlight w:val="none"/>
          <w:lang w:val="en-US" w:eastAsia="zh-CN"/>
        </w:rPr>
        <w:t>0</w:t>
      </w:r>
      <w:r>
        <w:rPr>
          <w:rFonts w:hint="eastAsia" w:ascii="仿宋_GB2312" w:hAnsi="ˎ̥" w:eastAsia="仿宋_GB2312"/>
          <w:color w:val="000000"/>
          <w:sz w:val="32"/>
          <w:szCs w:val="32"/>
          <w:highlight w:val="none"/>
        </w:rPr>
        <w:t>辆、其他用车</w:t>
      </w:r>
      <w:r>
        <w:rPr>
          <w:rFonts w:hint="eastAsia" w:ascii="仿宋_GB2312" w:hAnsi="ˎ̥" w:eastAsia="仿宋_GB2312"/>
          <w:color w:val="000000"/>
          <w:sz w:val="32"/>
          <w:szCs w:val="32"/>
          <w:highlight w:val="none"/>
          <w:lang w:val="en-US" w:eastAsia="zh-CN"/>
        </w:rPr>
        <w:t>5</w:t>
      </w:r>
      <w:r>
        <w:rPr>
          <w:rFonts w:hint="eastAsia" w:ascii="仿宋_GB2312" w:hAnsi="ˎ̥" w:eastAsia="仿宋_GB2312"/>
          <w:color w:val="000000"/>
          <w:sz w:val="32"/>
          <w:szCs w:val="32"/>
          <w:highlight w:val="none"/>
        </w:rPr>
        <w:t>辆。单价100万元（含）以上设备（不含车辆）</w:t>
      </w:r>
      <w:r>
        <w:rPr>
          <w:rFonts w:hint="eastAsia" w:ascii="仿宋_GB2312" w:hAnsi="ˎ̥" w:eastAsia="仿宋_GB2312"/>
          <w:color w:val="000000"/>
          <w:sz w:val="32"/>
          <w:szCs w:val="32"/>
          <w:highlight w:val="none"/>
          <w:lang w:val="en-US" w:eastAsia="zh-CN"/>
        </w:rPr>
        <w:t>1</w:t>
      </w:r>
      <w:r>
        <w:rPr>
          <w:rFonts w:hint="eastAsia" w:ascii="仿宋_GB2312" w:hAnsi="ˎ̥" w:eastAsia="仿宋_GB2312"/>
          <w:color w:val="000000"/>
          <w:sz w:val="32"/>
          <w:szCs w:val="32"/>
          <w:highlight w:val="none"/>
        </w:rPr>
        <w:t>台（套）。</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ˎ̥" w:eastAsia="仿宋_GB2312"/>
          <w:color w:val="000000"/>
          <w:sz w:val="32"/>
          <w:szCs w:val="32"/>
          <w:highlight w:val="none"/>
        </w:rPr>
      </w:pPr>
      <w:r>
        <w:rPr>
          <w:rFonts w:hint="eastAsia" w:ascii="仿宋_GB2312" w:hAnsi="ˎ̥" w:eastAsia="仿宋_GB2312"/>
          <w:color w:val="000000"/>
          <w:sz w:val="32"/>
          <w:szCs w:val="32"/>
          <w:highlight w:val="none"/>
        </w:rPr>
        <w:t>年末在建工程</w:t>
      </w:r>
      <w:r>
        <w:rPr>
          <w:rFonts w:hint="eastAsia" w:ascii="仿宋_GB2312" w:hAnsi="ˎ̥" w:eastAsia="仿宋_GB2312"/>
          <w:color w:val="000000"/>
          <w:sz w:val="32"/>
          <w:szCs w:val="32"/>
          <w:highlight w:val="none"/>
          <w:lang w:val="en-US" w:eastAsia="zh-CN"/>
        </w:rPr>
        <w:t>23289.52</w:t>
      </w:r>
      <w:r>
        <w:rPr>
          <w:rFonts w:hint="eastAsia" w:ascii="仿宋_GB2312" w:hAnsi="ˎ̥" w:eastAsia="仿宋_GB2312"/>
          <w:color w:val="000000"/>
          <w:sz w:val="32"/>
          <w:szCs w:val="32"/>
          <w:highlight w:val="none"/>
        </w:rPr>
        <w:t>万元。</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黑体" w:hAnsi="ˎ̥" w:eastAsia="黑体"/>
          <w:color w:val="000000"/>
          <w:sz w:val="32"/>
          <w:szCs w:val="32"/>
          <w:highlight w:val="none"/>
          <w:lang w:eastAsia="zh-CN"/>
        </w:rPr>
      </w:pPr>
      <w:bookmarkStart w:id="113" w:name="_Toc15425_WPSOffice_Level1"/>
      <w:bookmarkStart w:id="114" w:name="_Toc8874_WPSOffice_Level1"/>
      <w:bookmarkStart w:id="115" w:name="_Toc4398_WPSOffice_Level1"/>
      <w:bookmarkStart w:id="116" w:name="_Toc17580_WPSOffice_Level1"/>
      <w:bookmarkStart w:id="117" w:name="_Toc11039_WPSOffice_Level1"/>
      <w:bookmarkStart w:id="118" w:name="_Toc8808_WPSOffice_Level1"/>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黑体" w:hAnsi="ˎ̥" w:eastAsia="黑体"/>
          <w:color w:val="000000"/>
          <w:sz w:val="32"/>
          <w:szCs w:val="32"/>
          <w:highlight w:val="none"/>
        </w:rPr>
      </w:pPr>
      <w:r>
        <w:rPr>
          <w:rFonts w:hint="eastAsia" w:ascii="黑体" w:hAnsi="ˎ̥" w:eastAsia="黑体"/>
          <w:color w:val="000000"/>
          <w:sz w:val="32"/>
          <w:szCs w:val="32"/>
          <w:highlight w:val="none"/>
        </w:rPr>
        <w:t>第四部分  名词解释</w:t>
      </w:r>
      <w:bookmarkEnd w:id="113"/>
      <w:bookmarkEnd w:id="114"/>
      <w:bookmarkEnd w:id="115"/>
      <w:bookmarkEnd w:id="116"/>
      <w:bookmarkEnd w:id="117"/>
      <w:bookmarkEnd w:id="118"/>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黑体" w:hAnsi="ˎ̥" w:eastAsia="黑体"/>
          <w:color w:val="000000"/>
          <w:sz w:val="32"/>
          <w:szCs w:val="32"/>
          <w:highlight w:val="none"/>
        </w:rPr>
      </w:pPr>
    </w:p>
    <w:p>
      <w:pPr>
        <w:keepNext w:val="0"/>
        <w:keepLines w:val="0"/>
        <w:pageBreakBefore w:val="0"/>
        <w:numPr>
          <w:ilvl w:val="0"/>
          <w:numId w:val="4"/>
        </w:numPr>
        <w:kinsoku/>
        <w:wordWrap/>
        <w:overflowPunct/>
        <w:topLinePunct w:val="0"/>
        <w:autoSpaceDE/>
        <w:autoSpaceDN/>
        <w:bidi w:val="0"/>
        <w:adjustRightInd/>
        <w:snapToGrid/>
        <w:spacing w:line="560" w:lineRule="exact"/>
        <w:ind w:firstLine="640" w:firstLineChars="200"/>
        <w:textAlignment w:val="auto"/>
        <w:rPr>
          <w:rFonts w:hint="eastAsia" w:ascii="仿宋_GB2312" w:hAnsi="ˎ̥" w:eastAsia="仿宋_GB2312"/>
          <w:color w:val="000000"/>
          <w:sz w:val="32"/>
          <w:szCs w:val="32"/>
          <w:highlight w:val="none"/>
        </w:rPr>
      </w:pPr>
      <w:r>
        <w:rPr>
          <w:rFonts w:hint="eastAsia" w:ascii="仿宋_GB2312" w:hAnsi="ˎ̥" w:eastAsia="仿宋_GB2312"/>
          <w:color w:val="000000"/>
          <w:sz w:val="32"/>
          <w:szCs w:val="32"/>
          <w:highlight w:val="none"/>
        </w:rPr>
        <w:t>财政拨款收入：指同级政府财政部门当年拨付的各类财政拨款。</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ˎ̥" w:eastAsia="仿宋_GB2312"/>
          <w:color w:val="000000"/>
          <w:sz w:val="32"/>
          <w:szCs w:val="32"/>
          <w:highlight w:val="none"/>
        </w:rPr>
      </w:pPr>
      <w:r>
        <w:rPr>
          <w:rFonts w:hint="eastAsia" w:ascii="仿宋_GB2312" w:hAnsi="ˎ̥" w:eastAsia="仿宋_GB2312"/>
          <w:color w:val="000000"/>
          <w:sz w:val="32"/>
          <w:szCs w:val="32"/>
          <w:highlight w:val="none"/>
        </w:rPr>
        <w:t>二、上级补助收入：指事业单位从主管部门和上级单位取得的非财政补助收入。</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ˎ̥" w:eastAsia="仿宋_GB2312"/>
          <w:color w:val="000000"/>
          <w:sz w:val="32"/>
          <w:szCs w:val="32"/>
          <w:highlight w:val="none"/>
        </w:rPr>
      </w:pPr>
      <w:r>
        <w:rPr>
          <w:rFonts w:hint="eastAsia" w:ascii="仿宋_GB2312" w:hAnsi="ˎ̥" w:eastAsia="仿宋_GB2312"/>
          <w:color w:val="000000"/>
          <w:sz w:val="32"/>
          <w:szCs w:val="32"/>
          <w:highlight w:val="none"/>
        </w:rPr>
        <w:t>三、事业收入：指事业单位开展专业业务活动及辅助活动取得的收入。</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ˎ̥" w:eastAsia="仿宋_GB2312"/>
          <w:color w:val="000000"/>
          <w:sz w:val="32"/>
          <w:szCs w:val="32"/>
          <w:highlight w:val="none"/>
        </w:rPr>
      </w:pPr>
      <w:r>
        <w:rPr>
          <w:rFonts w:hint="eastAsia" w:ascii="仿宋_GB2312" w:hAnsi="ˎ̥" w:eastAsia="仿宋_GB2312"/>
          <w:color w:val="000000"/>
          <w:sz w:val="32"/>
          <w:szCs w:val="32"/>
          <w:highlight w:val="none"/>
        </w:rPr>
        <w:t>四、经营收入：指事业单位在专业业务活动及其辅助活动之外开展非独立核算经营活动取得的收入。</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ˎ̥" w:eastAsia="仿宋_GB2312"/>
          <w:color w:val="000000"/>
          <w:sz w:val="32"/>
          <w:szCs w:val="32"/>
          <w:highlight w:val="none"/>
        </w:rPr>
      </w:pPr>
      <w:r>
        <w:rPr>
          <w:rFonts w:hint="eastAsia" w:ascii="仿宋_GB2312" w:hAnsi="ˎ̥" w:eastAsia="仿宋_GB2312"/>
          <w:color w:val="000000"/>
          <w:sz w:val="32"/>
          <w:szCs w:val="32"/>
          <w:highlight w:val="none"/>
        </w:rPr>
        <w:t>五、附属单位上缴收入：指事业单位取得附属独立核算单位根据有关规定上缴的收入。</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ˎ̥" w:eastAsia="仿宋_GB2312"/>
          <w:color w:val="000000"/>
          <w:sz w:val="32"/>
          <w:szCs w:val="32"/>
          <w:highlight w:val="none"/>
        </w:rPr>
      </w:pPr>
      <w:r>
        <w:rPr>
          <w:rFonts w:hint="eastAsia" w:ascii="仿宋_GB2312" w:hAnsi="ˎ̥" w:eastAsia="仿宋_GB2312"/>
          <w:color w:val="000000"/>
          <w:sz w:val="32"/>
          <w:szCs w:val="32"/>
          <w:highlight w:val="none"/>
        </w:rPr>
        <w:t>六、其他收入：指除上述“财政拨款收入”“事业收入”“上级补助收入”“经营收入”“附属单位上缴收入”等以外的收入。</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ˎ̥" w:eastAsia="仿宋_GB2312"/>
          <w:color w:val="000000"/>
          <w:sz w:val="32"/>
          <w:szCs w:val="32"/>
          <w:highlight w:val="none"/>
        </w:rPr>
      </w:pPr>
      <w:r>
        <w:rPr>
          <w:rFonts w:hint="eastAsia" w:ascii="仿宋_GB2312" w:hAnsi="ˎ̥" w:eastAsia="仿宋_GB2312"/>
          <w:color w:val="000000"/>
          <w:sz w:val="32"/>
          <w:szCs w:val="32"/>
          <w:highlight w:val="none"/>
        </w:rPr>
        <w:t>七、使用非财政拨款结余：指事业单位在当年的“财政拨款收入”“事业收入”“经营收入”“其他收入”等不足以安排当年支出的情况下，使用非同级财政拨款结余资金弥补本年度收支缺口。</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ˎ̥" w:eastAsia="仿宋_GB2312"/>
          <w:color w:val="000000"/>
          <w:sz w:val="32"/>
          <w:szCs w:val="32"/>
          <w:highlight w:val="none"/>
        </w:rPr>
      </w:pPr>
      <w:r>
        <w:rPr>
          <w:rFonts w:hint="eastAsia" w:ascii="仿宋_GB2312" w:hAnsi="ˎ̥" w:eastAsia="仿宋_GB2312"/>
          <w:color w:val="000000"/>
          <w:sz w:val="32"/>
          <w:szCs w:val="32"/>
          <w:highlight w:val="none"/>
        </w:rPr>
        <w:t>八、年初结转和结余：指以前年度尚未完成、结转到本年按有关规定继续使用的资金，或项目已完成等产生的结余资金。</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ˎ̥" w:eastAsia="仿宋_GB2312"/>
          <w:color w:val="000000"/>
          <w:sz w:val="32"/>
          <w:szCs w:val="32"/>
          <w:highlight w:val="none"/>
        </w:rPr>
      </w:pPr>
      <w:r>
        <w:rPr>
          <w:rFonts w:hint="eastAsia" w:ascii="仿宋_GB2312" w:hAnsi="ˎ̥" w:eastAsia="仿宋_GB2312"/>
          <w:color w:val="000000"/>
          <w:sz w:val="32"/>
          <w:szCs w:val="32"/>
          <w:highlight w:val="none"/>
        </w:rPr>
        <w:t>九、结余分配：指事业单位缴纳企业所得税以及从非财政拨款结余或经营结余中提取各类结余的情况。</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ˎ̥" w:eastAsia="仿宋_GB2312"/>
          <w:color w:val="000000"/>
          <w:sz w:val="32"/>
          <w:szCs w:val="32"/>
          <w:highlight w:val="none"/>
        </w:rPr>
      </w:pPr>
      <w:r>
        <w:rPr>
          <w:rFonts w:hint="eastAsia" w:ascii="仿宋_GB2312" w:hAnsi="ˎ̥" w:eastAsia="仿宋_GB2312"/>
          <w:color w:val="000000"/>
          <w:sz w:val="32"/>
          <w:szCs w:val="32"/>
          <w:highlight w:val="none"/>
        </w:rPr>
        <w:t>十、年末结转和结余：指本年度或以前年度预算安排、因客观条件发生变化无法按原计划实施，需要延迟到以后年度按有关规定继续使用的资金（不包括事业单位非财政拨款结余和专用结余）。</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ˎ̥" w:eastAsia="仿宋_GB2312"/>
          <w:color w:val="000000"/>
          <w:sz w:val="32"/>
          <w:szCs w:val="32"/>
          <w:highlight w:val="none"/>
        </w:rPr>
      </w:pPr>
      <w:r>
        <w:rPr>
          <w:rFonts w:hint="eastAsia" w:ascii="仿宋_GB2312" w:hAnsi="ˎ̥" w:eastAsia="仿宋_GB2312"/>
          <w:color w:val="000000"/>
          <w:sz w:val="32"/>
          <w:szCs w:val="32"/>
          <w:highlight w:val="none"/>
        </w:rPr>
        <w:t>十一、基本支出：指为保障机构正常运转、完成日常工作任务而发生的人员支出和公用支出。</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ˎ̥" w:eastAsia="仿宋_GB2312"/>
          <w:color w:val="000000"/>
          <w:sz w:val="32"/>
          <w:szCs w:val="32"/>
          <w:highlight w:val="none"/>
        </w:rPr>
      </w:pPr>
      <w:r>
        <w:rPr>
          <w:rFonts w:hint="eastAsia" w:ascii="仿宋_GB2312" w:hAnsi="ˎ̥" w:eastAsia="仿宋_GB2312"/>
          <w:color w:val="000000"/>
          <w:sz w:val="32"/>
          <w:szCs w:val="32"/>
          <w:highlight w:val="none"/>
        </w:rPr>
        <w:t>十二、项目支出：指在基本支出之外为完成特定行政任务和事业发展目标所发生的支出。</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ˎ̥" w:eastAsia="仿宋_GB2312"/>
          <w:color w:val="000000"/>
          <w:sz w:val="32"/>
          <w:szCs w:val="32"/>
          <w:highlight w:val="none"/>
        </w:rPr>
      </w:pPr>
      <w:r>
        <w:rPr>
          <w:rFonts w:hint="eastAsia" w:ascii="仿宋_GB2312" w:hAnsi="ˎ̥" w:eastAsia="仿宋_GB2312"/>
          <w:color w:val="000000"/>
          <w:sz w:val="32"/>
          <w:szCs w:val="32"/>
          <w:highlight w:val="none"/>
        </w:rPr>
        <w:t>十三、经营支出：指事业单位在专业业务活动及其辅助活动之外开展非独立核算经营活动发生的支出。</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ˎ̥" w:eastAsia="仿宋_GB2312"/>
          <w:color w:val="000000"/>
          <w:sz w:val="32"/>
          <w:szCs w:val="32"/>
          <w:highlight w:val="none"/>
        </w:rPr>
      </w:pPr>
      <w:r>
        <w:rPr>
          <w:rFonts w:hint="eastAsia" w:ascii="仿宋_GB2312" w:hAnsi="ˎ̥" w:eastAsia="仿宋_GB2312"/>
          <w:color w:val="000000"/>
          <w:sz w:val="32"/>
          <w:szCs w:val="32"/>
          <w:highlight w:val="none"/>
        </w:rPr>
        <w:t>十四、“三公”经费：纳入本级财政预决算管理的“三公”经费，是指用一般公共预算财政拨款、政府性基金预算财政拨款及国有资本经营预算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车辆购置支出（含车辆购置税、牌照费）及燃料费、维修费、过路过桥费、保险费、安全奖励费用等支出；公务接待费反映单位按规定开支的各类公务接待（含外宾接待）费用。</w:t>
      </w:r>
    </w:p>
    <w:p>
      <w:pPr>
        <w:keepNext w:val="0"/>
        <w:keepLines w:val="0"/>
        <w:pageBreakBefore w:val="0"/>
        <w:kinsoku/>
        <w:wordWrap/>
        <w:overflowPunct/>
        <w:topLinePunct w:val="0"/>
        <w:autoSpaceDE/>
        <w:autoSpaceDN/>
        <w:bidi w:val="0"/>
        <w:adjustRightInd/>
        <w:snapToGrid/>
        <w:spacing w:line="560" w:lineRule="exact"/>
        <w:ind w:firstLine="645"/>
        <w:textAlignment w:val="auto"/>
        <w:rPr>
          <w:rFonts w:hint="eastAsia" w:ascii="仿宋_GB2312" w:hAnsi="ˎ̥" w:eastAsia="仿宋_GB2312"/>
          <w:color w:val="000000"/>
          <w:sz w:val="32"/>
          <w:szCs w:val="32"/>
          <w:highlight w:val="none"/>
        </w:rPr>
      </w:pPr>
      <w:r>
        <w:rPr>
          <w:rFonts w:hint="eastAsia" w:ascii="仿宋_GB2312" w:hAnsi="ˎ̥" w:eastAsia="仿宋_GB2312"/>
          <w:color w:val="000000"/>
          <w:sz w:val="32"/>
          <w:szCs w:val="32"/>
          <w:highlight w:val="none"/>
        </w:rPr>
        <w:t>十五、机关运行经费：为保障行政单位（含参照公务员法管理的事业单位）运行使用一般公共预算财政拨款安排的基本支出经费用于购买货物和服务的各项资金，包括办公及印刷费、邮电费、差旅费、会议费、福利费、日常维修费、专用材料及一般设备购置费、办公用房水电费、办公用房取暖费、办公用房物业管理费、公务用车运行维护费以及其他费用等。</w:t>
      </w:r>
    </w:p>
    <w:p>
      <w:pPr>
        <w:keepNext w:val="0"/>
        <w:keepLines w:val="0"/>
        <w:pageBreakBefore w:val="0"/>
        <w:kinsoku/>
        <w:wordWrap/>
        <w:overflowPunct/>
        <w:topLinePunct w:val="0"/>
        <w:autoSpaceDE/>
        <w:autoSpaceDN/>
        <w:bidi w:val="0"/>
        <w:adjustRightInd/>
        <w:snapToGrid/>
        <w:spacing w:line="560" w:lineRule="exact"/>
        <w:ind w:firstLine="645"/>
        <w:textAlignment w:val="auto"/>
        <w:rPr>
          <w:rFonts w:hint="eastAsia" w:ascii="仿宋_GB2312" w:hAnsi="ˎ̥" w:eastAsia="仿宋_GB2312"/>
          <w:color w:val="000000"/>
          <w:sz w:val="32"/>
          <w:szCs w:val="32"/>
          <w:highlight w:val="none"/>
        </w:rPr>
      </w:pPr>
      <w:r>
        <w:rPr>
          <w:rFonts w:hint="eastAsia" w:ascii="仿宋_GB2312" w:hAnsi="ˎ̥" w:eastAsia="仿宋_GB2312"/>
          <w:color w:val="000000"/>
          <w:sz w:val="32"/>
          <w:szCs w:val="32"/>
          <w:highlight w:val="none"/>
        </w:rPr>
        <w:t>（注</w:t>
      </w:r>
      <w:r>
        <w:rPr>
          <w:rFonts w:ascii="仿宋_GB2312" w:hAnsi="ˎ̥" w:eastAsia="仿宋_GB2312"/>
          <w:color w:val="000000"/>
          <w:sz w:val="32"/>
          <w:szCs w:val="32"/>
          <w:highlight w:val="none"/>
        </w:rPr>
        <w:t>：</w:t>
      </w:r>
      <w:r>
        <w:rPr>
          <w:rFonts w:hint="eastAsia" w:ascii="仿宋_GB2312" w:hAnsi="ˎ̥" w:eastAsia="仿宋_GB2312"/>
          <w:color w:val="000000"/>
          <w:sz w:val="32"/>
          <w:szCs w:val="32"/>
          <w:highlight w:val="none"/>
        </w:rPr>
        <w:t>支出功能分类的名词解释，各部门（单位）根据实际支出情况填列，可参阅财政部印发的《202</w:t>
      </w:r>
      <w:r>
        <w:rPr>
          <w:rFonts w:ascii="仿宋_GB2312" w:hAnsi="ˎ̥" w:eastAsia="仿宋_GB2312"/>
          <w:color w:val="000000"/>
          <w:sz w:val="32"/>
          <w:szCs w:val="32"/>
          <w:highlight w:val="none"/>
        </w:rPr>
        <w:t>2</w:t>
      </w:r>
      <w:r>
        <w:rPr>
          <w:rFonts w:hint="eastAsia" w:ascii="仿宋_GB2312" w:hAnsi="ˎ̥" w:eastAsia="仿宋_GB2312"/>
          <w:color w:val="000000"/>
          <w:sz w:val="32"/>
          <w:szCs w:val="32"/>
          <w:highlight w:val="none"/>
        </w:rPr>
        <w:t>年政府收支分类科目》）</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ˎ̥" w:eastAsia="仿宋_GB2312"/>
          <w:color w:val="000000"/>
          <w:sz w:val="32"/>
          <w:szCs w:val="32"/>
          <w:highlight w:val="none"/>
        </w:rPr>
      </w:pPr>
      <w:r>
        <w:rPr>
          <w:rFonts w:hint="eastAsia" w:ascii="仿宋_GB2312" w:hAnsi="ˎ̥" w:eastAsia="仿宋_GB2312"/>
          <w:color w:val="000000"/>
          <w:sz w:val="32"/>
          <w:szCs w:val="32"/>
          <w:highlight w:val="none"/>
        </w:rPr>
        <w:t>……</w:t>
      </w:r>
    </w:p>
    <w:p>
      <w:pPr>
        <w:keepNext w:val="0"/>
        <w:keepLines w:val="0"/>
        <w:pageBreakBefore w:val="0"/>
        <w:kinsoku/>
        <w:wordWrap/>
        <w:overflowPunct/>
        <w:topLinePunct w:val="0"/>
        <w:autoSpaceDE/>
        <w:autoSpaceDN/>
        <w:bidi w:val="0"/>
        <w:adjustRightInd/>
        <w:snapToGrid/>
        <w:spacing w:line="560" w:lineRule="exact"/>
        <w:textAlignment w:val="auto"/>
        <w:rPr>
          <w:color w:val="000000"/>
          <w:highlight w:val="none"/>
        </w:rPr>
      </w:pPr>
    </w:p>
    <w:p/>
    <w:sectPr>
      <w:footerReference r:id="rId3" w:type="default"/>
      <w:footerReference r:id="rId4" w:type="even"/>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ˎ̥">
    <w:altName w:val="Arial Unicode MS"/>
    <w:panose1 w:val="00000000000000000000"/>
    <w:charset w:val="00"/>
    <w:family w:val="roman"/>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rPr>
                              <w:rStyle w:val="6"/>
                            </w:rPr>
                          </w:pPr>
                          <w:r>
                            <w:rPr>
                              <w:rStyle w:val="6"/>
                            </w:rPr>
                            <w:t xml:space="preserve">— </w:t>
                          </w:r>
                          <w:r>
                            <w:fldChar w:fldCharType="begin"/>
                          </w:r>
                          <w:r>
                            <w:rPr>
                              <w:rStyle w:val="6"/>
                            </w:rPr>
                            <w:instrText xml:space="preserve"> PAGE  \* MERGEFORMAT </w:instrText>
                          </w:r>
                          <w:r>
                            <w:fldChar w:fldCharType="separate"/>
                          </w:r>
                          <w:r>
                            <w:rPr>
                              <w:rStyle w:val="6"/>
                            </w:rPr>
                            <w:t>1</w:t>
                          </w:r>
                          <w:r>
                            <w:fldChar w:fldCharType="end"/>
                          </w:r>
                          <w:r>
                            <w:rPr>
                              <w:rStyle w:val="6"/>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3"/>
                      <w:rPr>
                        <w:rStyle w:val="6"/>
                      </w:rPr>
                    </w:pPr>
                    <w:r>
                      <w:rPr>
                        <w:rStyle w:val="6"/>
                      </w:rPr>
                      <w:t xml:space="preserve">— </w:t>
                    </w:r>
                    <w:r>
                      <w:fldChar w:fldCharType="begin"/>
                    </w:r>
                    <w:r>
                      <w:rPr>
                        <w:rStyle w:val="6"/>
                      </w:rPr>
                      <w:instrText xml:space="preserve"> PAGE  \* MERGEFORMAT </w:instrText>
                    </w:r>
                    <w:r>
                      <w:fldChar w:fldCharType="separate"/>
                    </w:r>
                    <w:r>
                      <w:rPr>
                        <w:rStyle w:val="6"/>
                      </w:rPr>
                      <w:t>1</w:t>
                    </w:r>
                    <w:r>
                      <w:fldChar w:fldCharType="end"/>
                    </w:r>
                    <w:r>
                      <w:rPr>
                        <w:rStyle w:val="6"/>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6"/>
      </w:rPr>
    </w:pPr>
    <w:r>
      <w:fldChar w:fldCharType="begin"/>
    </w:r>
    <w:r>
      <w:rPr>
        <w:rStyle w:val="6"/>
      </w:rPr>
      <w:instrText xml:space="preserve">PAGE  </w:instrText>
    </w:r>
    <w:r>
      <w:fldChar w:fldCharType="separate"/>
    </w:r>
    <w:r>
      <w:fldChar w:fldCharType="end"/>
    </w:r>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FFC2DCC"/>
    <w:multiLevelType w:val="singleLevel"/>
    <w:tmpl w:val="AFFC2DCC"/>
    <w:lvl w:ilvl="0" w:tentative="0">
      <w:start w:val="1"/>
      <w:numFmt w:val="chineseCounting"/>
      <w:suff w:val="nothing"/>
      <w:lvlText w:val="%1、"/>
      <w:lvlJc w:val="left"/>
      <w:rPr>
        <w:rFonts w:hint="eastAsia"/>
      </w:rPr>
    </w:lvl>
  </w:abstractNum>
  <w:abstractNum w:abstractNumId="1">
    <w:nsid w:val="00DCA09B"/>
    <w:multiLevelType w:val="singleLevel"/>
    <w:tmpl w:val="00DCA09B"/>
    <w:lvl w:ilvl="0" w:tentative="0">
      <w:start w:val="1"/>
      <w:numFmt w:val="chineseCounting"/>
      <w:suff w:val="nothing"/>
      <w:lvlText w:val="%1、"/>
      <w:lvlJc w:val="left"/>
      <w:rPr>
        <w:rFonts w:hint="eastAsia"/>
      </w:rPr>
    </w:lvl>
  </w:abstractNum>
  <w:abstractNum w:abstractNumId="2">
    <w:nsid w:val="3B4A3203"/>
    <w:multiLevelType w:val="singleLevel"/>
    <w:tmpl w:val="3B4A3203"/>
    <w:lvl w:ilvl="0" w:tentative="0">
      <w:start w:val="2"/>
      <w:numFmt w:val="chineseCounting"/>
      <w:suff w:val="nothing"/>
      <w:lvlText w:val="（%1）"/>
      <w:lvlJc w:val="left"/>
      <w:rPr>
        <w:rFonts w:hint="eastAsia"/>
      </w:rPr>
    </w:lvl>
  </w:abstractNum>
  <w:abstractNum w:abstractNumId="3">
    <w:nsid w:val="72109F8D"/>
    <w:multiLevelType w:val="singleLevel"/>
    <w:tmpl w:val="72109F8D"/>
    <w:lvl w:ilvl="0" w:tentative="0">
      <w:start w:val="7"/>
      <w:numFmt w:val="chineseCounting"/>
      <w:suff w:val="nothing"/>
      <w:lvlText w:val="%1、"/>
      <w:lvlJc w:val="left"/>
      <w:rPr>
        <w:rFonts w:hint="eastAsia"/>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BmNTA3ZWNlZWJhNWNhODJmMjczYmVjN2M5NDliNjYifQ=="/>
  </w:docVars>
  <w:rsids>
    <w:rsidRoot w:val="52076970"/>
    <w:rsid w:val="00947A95"/>
    <w:rsid w:val="03CA6207"/>
    <w:rsid w:val="058C526B"/>
    <w:rsid w:val="085B58CB"/>
    <w:rsid w:val="11ED7132"/>
    <w:rsid w:val="1DFE408B"/>
    <w:rsid w:val="229E5EAD"/>
    <w:rsid w:val="28610BF3"/>
    <w:rsid w:val="2B1C0A93"/>
    <w:rsid w:val="2CB25B52"/>
    <w:rsid w:val="2D480265"/>
    <w:rsid w:val="2FAE488E"/>
    <w:rsid w:val="31D125D7"/>
    <w:rsid w:val="338B14E9"/>
    <w:rsid w:val="34D87807"/>
    <w:rsid w:val="35A83ACC"/>
    <w:rsid w:val="3B337E5E"/>
    <w:rsid w:val="412874F2"/>
    <w:rsid w:val="443553D6"/>
    <w:rsid w:val="4A561DC5"/>
    <w:rsid w:val="50A80F8D"/>
    <w:rsid w:val="51F93AD8"/>
    <w:rsid w:val="52076970"/>
    <w:rsid w:val="52A70888"/>
    <w:rsid w:val="54444BB2"/>
    <w:rsid w:val="5D6D4555"/>
    <w:rsid w:val="65C41D3B"/>
    <w:rsid w:val="676B00D2"/>
    <w:rsid w:val="79EA43B9"/>
    <w:rsid w:val="7AB20098"/>
    <w:rsid w:val="7F4D53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4"/>
    <w:basedOn w:val="1"/>
    <w:next w:val="1"/>
    <w:qFormat/>
    <w:uiPriority w:val="0"/>
    <w:pPr>
      <w:keepNext/>
      <w:keepLines/>
      <w:spacing w:before="280" w:after="290" w:line="376" w:lineRule="auto"/>
      <w:outlineLvl w:val="3"/>
    </w:pPr>
    <w:rPr>
      <w:rFonts w:ascii="Cambria" w:hAnsi="Cambria" w:eastAsia="宋体" w:cs="Times New Roman"/>
      <w:b/>
      <w:bCs/>
      <w:sz w:val="28"/>
      <w:szCs w:val="28"/>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szCs w:val="18"/>
    </w:rPr>
  </w:style>
  <w:style w:type="character" w:styleId="6">
    <w:name w:val="page number"/>
    <w:qFormat/>
    <w:uiPriority w:val="0"/>
  </w:style>
  <w:style w:type="paragraph" w:customStyle="1" w:styleId="7">
    <w:name w:val="WPSOffice手动目录 1"/>
    <w:qFormat/>
    <w:uiPriority w:val="0"/>
    <w:rPr>
      <w:rFonts w:ascii="Times New Roman" w:hAnsi="Times New Roman" w:eastAsia="宋体" w:cs="Times New Roman"/>
      <w:lang w:val="en-US" w:eastAsia="zh-CN" w:bidi="ar-SA"/>
    </w:rPr>
  </w:style>
  <w:style w:type="paragraph" w:customStyle="1" w:styleId="8">
    <w:name w:val="WPSOffice手动目录 2"/>
    <w:qFormat/>
    <w:uiPriority w:val="0"/>
    <w:pPr>
      <w:ind w:leftChars="200"/>
    </w:pPr>
    <w:rPr>
      <w:rFonts w:ascii="Times New Roman"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2023-10-18T03:29:00Z</dcterms:created>
  <dc:creator>琳</dc:creator>
  <cp:lastModifiedBy>琳</cp:lastModifiedBy>
  <dcterms:modified xsi:type="dcterms:W3CDTF">2023-10-24T08:07:13Z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A506900D93CB48EE9D2D8124D7E6FCB1_13</vt:lpwstr>
  </property>
</Properties>
</file>