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黑体" w:hAnsi="ˎ̥" w:eastAsia="黑体"/>
          <w:color w:val="000000"/>
          <w:sz w:val="32"/>
          <w:szCs w:val="32"/>
          <w:highlight w:val="none"/>
          <w:lang w:val="en-US" w:eastAsia="zh-CN"/>
        </w:rPr>
      </w:pPr>
      <w:r>
        <w:rPr>
          <w:rFonts w:hint="eastAsia" w:ascii="黑体" w:hAnsi="ˎ̥" w:eastAsia="黑体"/>
          <w:color w:val="000000"/>
          <w:sz w:val="32"/>
          <w:szCs w:val="32"/>
          <w:highlight w:val="none"/>
          <w:lang w:eastAsia="zh-CN"/>
        </w:rPr>
        <w:t>附件</w:t>
      </w:r>
      <w:r>
        <w:rPr>
          <w:rFonts w:hint="eastAsia" w:ascii="黑体" w:hAnsi="ˎ̥" w:eastAsia="黑体"/>
          <w:color w:val="000000"/>
          <w:sz w:val="32"/>
          <w:szCs w:val="32"/>
          <w:highlight w:val="none"/>
          <w:lang w:val="en-US" w:eastAsia="zh-CN"/>
        </w:rPr>
        <w:t>2</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ˎ̥" w:eastAsia="黑体"/>
          <w:color w:val="000000"/>
          <w:sz w:val="44"/>
          <w:szCs w:val="44"/>
          <w:highlight w:val="none"/>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ˎ̥" w:eastAsia="黑体"/>
          <w:color w:val="000000"/>
          <w:sz w:val="44"/>
          <w:szCs w:val="44"/>
          <w:highlight w:val="none"/>
        </w:rPr>
      </w:pPr>
      <w:bookmarkStart w:id="119" w:name="_GoBack"/>
      <w:r>
        <w:rPr>
          <w:rFonts w:hint="eastAsia" w:ascii="黑体" w:hAnsi="ˎ̥" w:eastAsia="黑体"/>
          <w:color w:val="000000"/>
          <w:sz w:val="44"/>
          <w:szCs w:val="44"/>
          <w:highlight w:val="none"/>
          <w:lang w:eastAsia="zh-CN"/>
        </w:rPr>
        <w:t>三亚市卫生健康服务中心</w:t>
      </w:r>
      <w:r>
        <w:rPr>
          <w:rFonts w:hint="eastAsia" w:ascii="黑体" w:hAnsi="ˎ̥" w:eastAsia="黑体"/>
          <w:color w:val="000000"/>
          <w:sz w:val="44"/>
          <w:szCs w:val="44"/>
          <w:highlight w:val="none"/>
        </w:rPr>
        <w:t>2022年度</w:t>
      </w:r>
      <w:r>
        <w:rPr>
          <w:rFonts w:hint="eastAsia" w:ascii="黑体" w:hAnsi="ˎ̥" w:eastAsia="黑体"/>
          <w:color w:val="000000"/>
          <w:sz w:val="44"/>
          <w:szCs w:val="44"/>
          <w:highlight w:val="none"/>
          <w:lang w:eastAsia="zh-CN"/>
        </w:rPr>
        <w:t>单位</w:t>
      </w:r>
      <w:r>
        <w:rPr>
          <w:rFonts w:hint="eastAsia" w:ascii="黑体" w:hAnsi="ˎ̥" w:eastAsia="黑体"/>
          <w:color w:val="000000"/>
          <w:sz w:val="44"/>
          <w:szCs w:val="44"/>
          <w:highlight w:val="none"/>
        </w:rPr>
        <w:t>决算公开</w:t>
      </w:r>
      <w:r>
        <w:rPr>
          <w:rFonts w:ascii="黑体" w:hAnsi="ˎ̥" w:eastAsia="黑体"/>
          <w:color w:val="000000"/>
          <w:sz w:val="44"/>
          <w:szCs w:val="44"/>
          <w:highlight w:val="none"/>
        </w:rPr>
        <w:t>报告</w:t>
      </w:r>
    </w:p>
    <w:bookmarkEnd w:id="119"/>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ˎ̥" w:eastAsia="黑体"/>
          <w:b/>
          <w:color w:val="000000"/>
          <w:sz w:val="32"/>
          <w:szCs w:val="32"/>
          <w:highlight w:val="none"/>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sz w:val="44"/>
          <w:szCs w:val="44"/>
          <w:highlight w:val="none"/>
        </w:rPr>
      </w:pPr>
      <w:bookmarkStart w:id="0" w:name="_Toc11440_WPSOffice_Type2"/>
      <w:r>
        <w:rPr>
          <w:rFonts w:hint="eastAsia" w:ascii="黑体" w:hAnsi="黑体" w:eastAsia="黑体" w:cs="黑体"/>
          <w:color w:val="000000"/>
          <w:sz w:val="44"/>
          <w:szCs w:val="44"/>
          <w:highlight w:val="none"/>
        </w:rPr>
        <w:t>目  录</w:t>
      </w:r>
    </w:p>
    <w:p>
      <w:pPr>
        <w:pStyle w:val="6"/>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color w:val="000000"/>
          <w:sz w:val="32"/>
          <w:szCs w:val="32"/>
          <w:highlight w:val="none"/>
        </w:rPr>
      </w:pPr>
      <w:r>
        <w:rPr>
          <w:color w:val="000000"/>
          <w:sz w:val="32"/>
          <w:szCs w:val="32"/>
          <w:highlight w:val="none"/>
        </w:rPr>
        <w:fldChar w:fldCharType="begin"/>
      </w:r>
      <w:r>
        <w:rPr>
          <w:color w:val="000000"/>
          <w:sz w:val="32"/>
          <w:szCs w:val="32"/>
          <w:highlight w:val="none"/>
        </w:rPr>
        <w:instrText xml:space="preserve"> HYPERLINK \l _Toc1704_WPSOffice_Level1 </w:instrText>
      </w:r>
      <w:r>
        <w:rPr>
          <w:color w:val="000000"/>
          <w:sz w:val="32"/>
          <w:szCs w:val="32"/>
          <w:highlight w:val="none"/>
        </w:rPr>
        <w:fldChar w:fldCharType="separate"/>
      </w:r>
      <w:r>
        <w:rPr>
          <w:rFonts w:hint="eastAsia" w:ascii="黑体" w:hAnsi="ˎ̥" w:eastAsia="黑体"/>
          <w:color w:val="000000"/>
          <w:sz w:val="32"/>
          <w:szCs w:val="32"/>
          <w:highlight w:val="none"/>
        </w:rPr>
        <w:t>第一部分 基本情况</w:t>
      </w:r>
      <w:r>
        <w:rPr>
          <w:color w:val="000000"/>
          <w:sz w:val="32"/>
          <w:szCs w:val="32"/>
          <w:highlight w:val="none"/>
        </w:rPr>
        <w:tab/>
      </w:r>
      <w:r>
        <w:rPr>
          <w:rFonts w:hint="eastAsia"/>
          <w:color w:val="000000"/>
          <w:sz w:val="32"/>
          <w:szCs w:val="32"/>
          <w:highlight w:val="none"/>
          <w:lang w:val="en-US" w:eastAsia="zh-CN"/>
        </w:rPr>
        <w:t>2</w:t>
      </w:r>
      <w:r>
        <w:rPr>
          <w:color w:val="000000"/>
          <w:sz w:val="32"/>
          <w:szCs w:val="32"/>
          <w:highlight w:val="none"/>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_Toc20274_WPSOffice_Level2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color w:val="000000"/>
          <w:sz w:val="32"/>
          <w:szCs w:val="32"/>
          <w:highlight w:val="none"/>
        </w:rPr>
        <w:t>一、部门</w:t>
      </w:r>
      <w:r>
        <w:rPr>
          <w:rFonts w:hint="eastAsia" w:ascii="仿宋" w:hAnsi="仿宋" w:eastAsia="仿宋" w:cs="仿宋"/>
          <w:color w:val="000000"/>
          <w:sz w:val="32"/>
          <w:szCs w:val="32"/>
          <w:highlight w:val="none"/>
          <w:lang w:eastAsia="zh-CN"/>
        </w:rPr>
        <w:t>（单位）</w:t>
      </w:r>
      <w:r>
        <w:rPr>
          <w:rFonts w:hint="eastAsia" w:ascii="仿宋" w:hAnsi="仿宋" w:eastAsia="仿宋" w:cs="仿宋"/>
          <w:color w:val="000000"/>
          <w:sz w:val="32"/>
          <w:szCs w:val="32"/>
          <w:highlight w:val="none"/>
        </w:rPr>
        <w:t>职责</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2</w:t>
      </w:r>
      <w:r>
        <w:rPr>
          <w:rFonts w:hint="eastAsia" w:ascii="仿宋" w:hAnsi="仿宋" w:eastAsia="仿宋" w:cs="仿宋"/>
          <w:color w:val="000000"/>
          <w:sz w:val="32"/>
          <w:szCs w:val="32"/>
          <w:highlight w:val="none"/>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_Toc4833_WPSOffice_Level2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color w:val="000000"/>
          <w:sz w:val="32"/>
          <w:szCs w:val="32"/>
          <w:highlight w:val="none"/>
        </w:rPr>
        <w:t>二、机构设置</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2</w:t>
      </w:r>
      <w:r>
        <w:rPr>
          <w:rFonts w:hint="eastAsia" w:ascii="仿宋" w:hAnsi="仿宋" w:eastAsia="仿宋" w:cs="仿宋"/>
          <w:color w:val="000000"/>
          <w:sz w:val="32"/>
          <w:szCs w:val="32"/>
          <w:highlight w:val="none"/>
        </w:rPr>
        <w:fldChar w:fldCharType="end"/>
      </w:r>
    </w:p>
    <w:p>
      <w:pPr>
        <w:pStyle w:val="6"/>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color w:val="000000"/>
          <w:sz w:val="32"/>
          <w:szCs w:val="32"/>
          <w:highlight w:val="none"/>
        </w:rPr>
      </w:pPr>
      <w:r>
        <w:rPr>
          <w:color w:val="000000"/>
          <w:sz w:val="32"/>
          <w:szCs w:val="32"/>
          <w:highlight w:val="none"/>
        </w:rPr>
        <w:fldChar w:fldCharType="begin"/>
      </w:r>
      <w:r>
        <w:rPr>
          <w:color w:val="000000"/>
          <w:sz w:val="32"/>
          <w:szCs w:val="32"/>
          <w:highlight w:val="none"/>
        </w:rPr>
        <w:instrText xml:space="preserve"> HYPERLINK \l _Toc28253_WPSOffice_Level1 </w:instrText>
      </w:r>
      <w:r>
        <w:rPr>
          <w:color w:val="000000"/>
          <w:sz w:val="32"/>
          <w:szCs w:val="32"/>
          <w:highlight w:val="none"/>
        </w:rPr>
        <w:fldChar w:fldCharType="separate"/>
      </w:r>
      <w:r>
        <w:rPr>
          <w:rFonts w:hint="eastAsia" w:ascii="黑体" w:hAnsi="ˎ̥" w:eastAsia="黑体"/>
          <w:color w:val="000000"/>
          <w:sz w:val="32"/>
          <w:szCs w:val="32"/>
          <w:highlight w:val="none"/>
        </w:rPr>
        <w:t>第二部分  202</w:t>
      </w:r>
      <w:r>
        <w:rPr>
          <w:rFonts w:ascii="黑体" w:hAnsi="ˎ̥" w:eastAsia="黑体"/>
          <w:color w:val="000000"/>
          <w:sz w:val="32"/>
          <w:szCs w:val="32"/>
          <w:highlight w:val="none"/>
        </w:rPr>
        <w:t>2</w:t>
      </w:r>
      <w:r>
        <w:rPr>
          <w:rFonts w:hint="eastAsia" w:ascii="黑体" w:hAnsi="ˎ̥" w:eastAsia="黑体"/>
          <w:color w:val="000000"/>
          <w:sz w:val="32"/>
          <w:szCs w:val="32"/>
          <w:highlight w:val="none"/>
        </w:rPr>
        <w:t>年度部门决算公开表</w:t>
      </w:r>
      <w:r>
        <w:rPr>
          <w:color w:val="000000"/>
          <w:sz w:val="32"/>
          <w:szCs w:val="32"/>
          <w:highlight w:val="none"/>
        </w:rPr>
        <w:tab/>
      </w:r>
      <w:r>
        <w:rPr>
          <w:rFonts w:hint="eastAsia"/>
          <w:color w:val="000000"/>
          <w:sz w:val="32"/>
          <w:szCs w:val="32"/>
          <w:highlight w:val="none"/>
          <w:lang w:val="en-US" w:eastAsia="zh-CN"/>
        </w:rPr>
        <w:t>2</w:t>
      </w:r>
      <w:r>
        <w:rPr>
          <w:color w:val="000000"/>
          <w:sz w:val="32"/>
          <w:szCs w:val="32"/>
          <w:highlight w:val="none"/>
        </w:rPr>
        <w:fldChar w:fldCharType="end"/>
      </w:r>
    </w:p>
    <w:p>
      <w:pPr>
        <w:pStyle w:val="6"/>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color w:val="000000"/>
          <w:sz w:val="32"/>
          <w:szCs w:val="32"/>
          <w:highlight w:val="none"/>
        </w:rPr>
      </w:pPr>
      <w:r>
        <w:rPr>
          <w:color w:val="000000"/>
          <w:sz w:val="32"/>
          <w:szCs w:val="32"/>
          <w:highlight w:val="none"/>
        </w:rPr>
        <w:fldChar w:fldCharType="begin"/>
      </w:r>
      <w:r>
        <w:rPr>
          <w:color w:val="000000"/>
          <w:sz w:val="32"/>
          <w:szCs w:val="32"/>
          <w:highlight w:val="none"/>
        </w:rPr>
        <w:instrText xml:space="preserve"> HYPERLINK \l _Toc27590_WPSOffice_Level1 </w:instrText>
      </w:r>
      <w:r>
        <w:rPr>
          <w:color w:val="000000"/>
          <w:sz w:val="32"/>
          <w:szCs w:val="32"/>
          <w:highlight w:val="none"/>
        </w:rPr>
        <w:fldChar w:fldCharType="separate"/>
      </w:r>
      <w:r>
        <w:rPr>
          <w:rFonts w:hint="eastAsia" w:ascii="黑体" w:hAnsi="黑体" w:eastAsia="黑体" w:cs="黑体"/>
          <w:color w:val="000000"/>
          <w:sz w:val="32"/>
          <w:szCs w:val="32"/>
          <w:highlight w:val="none"/>
        </w:rPr>
        <w:t>第三部分</w:t>
      </w:r>
      <w:r>
        <w:rPr>
          <w:rFonts w:hint="eastAsia"/>
          <w:color w:val="000000"/>
          <w:sz w:val="32"/>
          <w:szCs w:val="32"/>
          <w:highlight w:val="none"/>
        </w:rPr>
        <w:t xml:space="preserve">  </w:t>
      </w:r>
      <w:r>
        <w:rPr>
          <w:rFonts w:hint="eastAsia" w:ascii="黑体" w:hAnsi="ˎ̥" w:eastAsia="黑体"/>
          <w:color w:val="000000"/>
          <w:sz w:val="32"/>
          <w:szCs w:val="32"/>
          <w:highlight w:val="none"/>
        </w:rPr>
        <w:t>2022年度部门决算情况说明</w:t>
      </w:r>
      <w:r>
        <w:rPr>
          <w:color w:val="000000"/>
          <w:sz w:val="32"/>
          <w:szCs w:val="32"/>
          <w:highlight w:val="none"/>
        </w:rPr>
        <w:tab/>
      </w:r>
      <w:r>
        <w:rPr>
          <w:rFonts w:hint="eastAsia"/>
          <w:color w:val="000000"/>
          <w:sz w:val="32"/>
          <w:szCs w:val="32"/>
          <w:highlight w:val="none"/>
          <w:lang w:val="en-US" w:eastAsia="zh-CN"/>
        </w:rPr>
        <w:t>3</w:t>
      </w:r>
      <w:r>
        <w:rPr>
          <w:color w:val="000000"/>
          <w:sz w:val="32"/>
          <w:szCs w:val="32"/>
          <w:highlight w:val="none"/>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_Toc21737_WPSOffice_Level2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bCs/>
          <w:color w:val="000000"/>
          <w:sz w:val="32"/>
          <w:szCs w:val="32"/>
          <w:highlight w:val="none"/>
        </w:rPr>
        <w:t>一、收入支出总体情况说明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3</w:t>
      </w:r>
      <w:r>
        <w:rPr>
          <w:rFonts w:hint="eastAsia" w:ascii="仿宋" w:hAnsi="仿宋" w:eastAsia="仿宋" w:cs="仿宋"/>
          <w:color w:val="000000"/>
          <w:sz w:val="32"/>
          <w:szCs w:val="32"/>
          <w:highlight w:val="none"/>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_Toc19535_WPSOffice_Level2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bCs/>
          <w:color w:val="000000"/>
          <w:sz w:val="32"/>
          <w:szCs w:val="32"/>
          <w:highlight w:val="none"/>
        </w:rPr>
        <w:t>二、收入决算情况说明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3</w:t>
      </w:r>
      <w:r>
        <w:rPr>
          <w:rFonts w:hint="eastAsia" w:ascii="仿宋" w:hAnsi="仿宋" w:eastAsia="仿宋" w:cs="仿宋"/>
          <w:color w:val="000000"/>
          <w:sz w:val="32"/>
          <w:szCs w:val="32"/>
          <w:highlight w:val="none"/>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_Toc19535_WPSOffice_Level2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bCs/>
          <w:color w:val="000000"/>
          <w:sz w:val="32"/>
          <w:szCs w:val="32"/>
          <w:highlight w:val="none"/>
        </w:rPr>
        <w:t>三、支出决算情况说明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4</w:t>
      </w:r>
      <w:r>
        <w:rPr>
          <w:rFonts w:hint="eastAsia" w:ascii="仿宋" w:hAnsi="仿宋" w:eastAsia="仿宋" w:cs="仿宋"/>
          <w:color w:val="000000"/>
          <w:sz w:val="32"/>
          <w:szCs w:val="32"/>
          <w:highlight w:val="none"/>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_Toc19535_WPSOffice_Level2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bCs/>
          <w:color w:val="000000"/>
          <w:sz w:val="32"/>
          <w:szCs w:val="32"/>
          <w:highlight w:val="none"/>
        </w:rPr>
        <w:t>四、财政拨款收入支出决算情况说明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4</w:t>
      </w:r>
      <w:r>
        <w:rPr>
          <w:rFonts w:hint="eastAsia" w:ascii="仿宋" w:hAnsi="仿宋" w:eastAsia="仿宋" w:cs="仿宋"/>
          <w:color w:val="000000"/>
          <w:sz w:val="32"/>
          <w:szCs w:val="32"/>
          <w:highlight w:val="none"/>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_Toc19535_WPSOffice_Level2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bCs/>
          <w:color w:val="000000"/>
          <w:sz w:val="32"/>
          <w:szCs w:val="32"/>
          <w:highlight w:val="none"/>
        </w:rPr>
        <w:t>五、一般公共预算财政拨款支出决算情况说明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5</w:t>
      </w:r>
      <w:r>
        <w:rPr>
          <w:rFonts w:hint="eastAsia" w:ascii="仿宋" w:hAnsi="仿宋" w:eastAsia="仿宋" w:cs="仿宋"/>
          <w:color w:val="000000"/>
          <w:sz w:val="32"/>
          <w:szCs w:val="32"/>
          <w:highlight w:val="none"/>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_Toc19535_WPSOffice_Level2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bCs/>
          <w:color w:val="000000"/>
          <w:sz w:val="32"/>
          <w:szCs w:val="32"/>
          <w:highlight w:val="none"/>
        </w:rPr>
        <w:t>六、一般公共预算财政拨款基本支出决算情况说明</w:t>
      </w:r>
      <w:r>
        <w:rPr>
          <w:rFonts w:hint="eastAsia" w:ascii="仿宋" w:hAnsi="仿宋" w:eastAsia="仿宋" w:cs="仿宋"/>
          <w:color w:val="000000"/>
          <w:sz w:val="32"/>
          <w:szCs w:val="32"/>
          <w:highlight w:val="none"/>
        </w:rPr>
        <w:fldChar w:fldCharType="end"/>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6</w:t>
      </w:r>
    </w:p>
    <w:p>
      <w:pPr>
        <w:pStyle w:val="7"/>
        <w:keepNext w:val="0"/>
        <w:keepLines w:val="0"/>
        <w:pageBreakBefore w:val="0"/>
        <w:numPr>
          <w:ilvl w:val="0"/>
          <w:numId w:val="1"/>
        </w:numPr>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bCs/>
          <w:color w:val="000000"/>
          <w:sz w:val="32"/>
          <w:szCs w:val="32"/>
          <w:highlight w:val="none"/>
        </w:rPr>
        <w:t>政府性基金预算财政拨款支出决算情况说明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7</w:t>
      </w:r>
    </w:p>
    <w:p>
      <w:pPr>
        <w:pStyle w:val="7"/>
        <w:keepNext w:val="0"/>
        <w:keepLines w:val="0"/>
        <w:pageBreakBefore w:val="0"/>
        <w:numPr>
          <w:ilvl w:val="0"/>
          <w:numId w:val="1"/>
        </w:numPr>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bCs/>
          <w:color w:val="000000"/>
          <w:sz w:val="32"/>
          <w:szCs w:val="32"/>
          <w:highlight w:val="none"/>
        </w:rPr>
        <w:t>国有资本经营预算财政拨款支出决算情况说明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rPr>
        <w:t>8</w:t>
      </w:r>
    </w:p>
    <w:p>
      <w:pPr>
        <w:pStyle w:val="7"/>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_Toc19535_WPSOffice_Level2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bCs/>
          <w:color w:val="000000"/>
          <w:sz w:val="32"/>
          <w:szCs w:val="32"/>
          <w:highlight w:val="none"/>
        </w:rPr>
        <w:t>九、财政拨款“三公”经费支出决算情况说明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9</w:t>
      </w:r>
      <w:r>
        <w:rPr>
          <w:rFonts w:hint="eastAsia" w:ascii="仿宋" w:hAnsi="仿宋" w:eastAsia="仿宋" w:cs="仿宋"/>
          <w:color w:val="000000"/>
          <w:sz w:val="32"/>
          <w:szCs w:val="32"/>
          <w:highlight w:val="none"/>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_Toc19535_WPSOffice_Level2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bCs/>
          <w:color w:val="000000"/>
          <w:sz w:val="32"/>
          <w:szCs w:val="32"/>
          <w:highlight w:val="none"/>
        </w:rPr>
        <w:t>十、预算绩效情况说明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rPr>
        <w:fldChar w:fldCharType="end"/>
      </w:r>
      <w:r>
        <w:rPr>
          <w:rFonts w:hint="eastAsia" w:ascii="仿宋" w:hAnsi="仿宋" w:eastAsia="仿宋" w:cs="仿宋"/>
          <w:color w:val="000000"/>
          <w:sz w:val="32"/>
          <w:szCs w:val="32"/>
          <w:highlight w:val="none"/>
        </w:rPr>
        <w:t>11</w:t>
      </w:r>
    </w:p>
    <w:p>
      <w:pPr>
        <w:pStyle w:val="7"/>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lang w:eastAsia="zh-CN"/>
        </w:rPr>
      </w:pPr>
      <w:r>
        <w:rPr>
          <w:rFonts w:hint="eastAsia" w:ascii="仿宋" w:hAnsi="仿宋" w:eastAsia="仿宋" w:cs="仿宋"/>
          <w:bCs/>
          <w:color w:val="000000"/>
          <w:sz w:val="32"/>
          <w:szCs w:val="32"/>
          <w:highlight w:val="none"/>
        </w:rPr>
        <w:t>十一、其他重要事项情况说明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rPr>
        <w:t>1</w:t>
      </w:r>
      <w:r>
        <w:rPr>
          <w:rFonts w:hint="eastAsia" w:ascii="仿宋" w:hAnsi="仿宋" w:eastAsia="仿宋" w:cs="仿宋"/>
          <w:color w:val="000000"/>
          <w:sz w:val="32"/>
          <w:szCs w:val="32"/>
          <w:highlight w:val="none"/>
          <w:lang w:val="en-US" w:eastAsia="zh-CN"/>
        </w:rPr>
        <w:t>3</w:t>
      </w:r>
    </w:p>
    <w:p>
      <w:pPr>
        <w:pStyle w:val="6"/>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黑体" w:hAnsi="ˎ̥" w:eastAsia="宋体"/>
          <w:b/>
          <w:color w:val="000000"/>
          <w:sz w:val="32"/>
          <w:szCs w:val="32"/>
          <w:highlight w:val="none"/>
          <w:lang w:eastAsia="zh-CN"/>
        </w:rPr>
      </w:pPr>
      <w:r>
        <w:rPr>
          <w:color w:val="000000"/>
          <w:sz w:val="32"/>
          <w:szCs w:val="32"/>
          <w:highlight w:val="none"/>
        </w:rPr>
        <w:fldChar w:fldCharType="begin"/>
      </w:r>
      <w:r>
        <w:rPr>
          <w:color w:val="000000"/>
          <w:sz w:val="32"/>
          <w:szCs w:val="32"/>
          <w:highlight w:val="none"/>
        </w:rPr>
        <w:instrText xml:space="preserve"> HYPERLINK \l _Toc15425_WPSOffice_Level1 </w:instrText>
      </w:r>
      <w:r>
        <w:rPr>
          <w:color w:val="000000"/>
          <w:sz w:val="32"/>
          <w:szCs w:val="32"/>
          <w:highlight w:val="none"/>
        </w:rPr>
        <w:fldChar w:fldCharType="separate"/>
      </w:r>
      <w:r>
        <w:rPr>
          <w:rFonts w:hint="eastAsia" w:ascii="黑体" w:hAnsi="ˎ̥" w:eastAsia="黑体"/>
          <w:color w:val="000000"/>
          <w:sz w:val="32"/>
          <w:szCs w:val="32"/>
          <w:highlight w:val="none"/>
        </w:rPr>
        <w:t>第四部分  名词解释</w:t>
      </w:r>
      <w:r>
        <w:rPr>
          <w:color w:val="000000"/>
          <w:sz w:val="32"/>
          <w:szCs w:val="32"/>
          <w:highlight w:val="none"/>
        </w:rPr>
        <w:tab/>
      </w:r>
      <w:bookmarkStart w:id="1" w:name="_Toc15425_WPSOffice_Level1Page"/>
      <w:r>
        <w:rPr>
          <w:color w:val="000000"/>
          <w:sz w:val="32"/>
          <w:szCs w:val="32"/>
          <w:highlight w:val="none"/>
        </w:rPr>
        <w:t>1</w:t>
      </w:r>
      <w:bookmarkEnd w:id="1"/>
      <w:r>
        <w:rPr>
          <w:color w:val="000000"/>
          <w:sz w:val="32"/>
          <w:szCs w:val="32"/>
          <w:highlight w:val="none"/>
        </w:rPr>
        <w:fldChar w:fldCharType="end"/>
      </w:r>
      <w:bookmarkEnd w:id="0"/>
      <w:r>
        <w:rPr>
          <w:rFonts w:hint="eastAsia"/>
          <w:color w:val="000000"/>
          <w:sz w:val="32"/>
          <w:szCs w:val="32"/>
          <w:highlight w:val="none"/>
          <w:lang w:val="en-US" w:eastAsia="zh-CN"/>
        </w:rPr>
        <w:t>5</w:t>
      </w:r>
    </w:p>
    <w:p>
      <w:pPr>
        <w:jc w:val="center"/>
        <w:rPr>
          <w:rFonts w:hint="eastAsia" w:ascii="黑体" w:hAnsi="ˎ̥" w:eastAsia="黑体"/>
          <w:color w:val="000000"/>
          <w:sz w:val="32"/>
          <w:szCs w:val="32"/>
          <w:highlight w:val="none"/>
        </w:rPr>
      </w:pPr>
      <w:bookmarkStart w:id="2" w:name="_Toc10049_WPSOffice_Level1"/>
      <w:bookmarkStart w:id="3" w:name="_Toc22941_WPSOffice_Level1"/>
      <w:bookmarkStart w:id="4" w:name="_Toc23465_WPSOffice_Level1"/>
      <w:bookmarkStart w:id="5" w:name="_Toc32433_WPSOffice_Level1"/>
      <w:bookmarkStart w:id="6" w:name="_Toc10720_WPSOffice_Level1"/>
      <w:bookmarkStart w:id="7" w:name="_Toc1704_WPSOffice_Level1"/>
      <w:bookmarkStart w:id="8" w:name="_Toc24238_WPSOffice_Level2"/>
      <w:bookmarkStart w:id="9" w:name="_Toc20274_WPSOffice_Level2"/>
      <w:bookmarkStart w:id="10" w:name="_Toc32622_WPSOffice_Level2"/>
      <w:bookmarkStart w:id="11" w:name="_Toc14159_WPSOffice_Level2"/>
      <w:bookmarkStart w:id="12" w:name="_Toc20205_WPSOffice_Level2"/>
      <w:bookmarkStart w:id="13" w:name="_Toc26580_WPSOffice_Level2"/>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ˎ̥" w:eastAsia="黑体"/>
          <w:color w:val="000000"/>
          <w:sz w:val="32"/>
          <w:szCs w:val="32"/>
          <w:highlight w:val="none"/>
        </w:rPr>
      </w:pPr>
      <w:r>
        <w:rPr>
          <w:rFonts w:hint="eastAsia" w:ascii="黑体" w:hAnsi="ˎ̥" w:eastAsia="黑体"/>
          <w:color w:val="000000"/>
          <w:sz w:val="32"/>
          <w:szCs w:val="32"/>
          <w:highlight w:val="none"/>
        </w:rPr>
        <w:br w:type="page"/>
      </w:r>
      <w:r>
        <w:rPr>
          <w:rFonts w:hint="eastAsia" w:ascii="黑体" w:hAnsi="ˎ̥" w:eastAsia="黑体"/>
          <w:color w:val="000000"/>
          <w:sz w:val="32"/>
          <w:szCs w:val="32"/>
          <w:highlight w:val="none"/>
        </w:rPr>
        <w:t xml:space="preserve">第一部分  </w:t>
      </w:r>
      <w:bookmarkEnd w:id="2"/>
      <w:bookmarkEnd w:id="3"/>
      <w:bookmarkEnd w:id="4"/>
      <w:bookmarkEnd w:id="5"/>
      <w:bookmarkEnd w:id="6"/>
      <w:bookmarkEnd w:id="7"/>
      <w:r>
        <w:rPr>
          <w:rFonts w:hint="eastAsia" w:ascii="黑体" w:hAnsi="ˎ̥" w:eastAsia="黑体"/>
          <w:color w:val="000000"/>
          <w:sz w:val="32"/>
          <w:szCs w:val="32"/>
          <w:highlight w:val="none"/>
        </w:rPr>
        <w:t>基本情况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highlight w:val="none"/>
        </w:rPr>
      </w:pPr>
    </w:p>
    <w:bookmarkEnd w:id="8"/>
    <w:p>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单位职责</w:t>
      </w:r>
      <w:bookmarkEnd w:id="9"/>
      <w:bookmarkEnd w:id="10"/>
      <w:bookmarkEnd w:id="11"/>
      <w:bookmarkEnd w:id="12"/>
      <w:bookmarkEnd w:id="13"/>
    </w:p>
    <w:p>
      <w:pPr>
        <w:pStyle w:val="8"/>
        <w:ind w:left="640" w:firstLine="0"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（一）开展家庭健康发展宣传教育、服务咨询、指导培训及各种惠民便民服务工作，落实生殖健康科普知识、优生优育知识宣传与咨询。</w:t>
      </w:r>
    </w:p>
    <w:p>
      <w:pPr>
        <w:pStyle w:val="8"/>
        <w:ind w:left="640" w:firstLine="0"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（二）落实幸福家庭开展计划，围绕家庭保健，科学育儿、青少年心理健康、养老照护、家庭文化等开展宣传教育，承担服务咨询、教育培训、疏导帮助、避孕药具发放等服务。</w:t>
      </w:r>
    </w:p>
    <w:p>
      <w:pPr>
        <w:pStyle w:val="8"/>
        <w:ind w:left="640" w:firstLine="0"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（三）协助开张全市医疗机构重点专科评审、周期性评价和医疗机构运行情况监测评估及绩效考核工作。</w:t>
      </w:r>
    </w:p>
    <w:p>
      <w:pPr>
        <w:pStyle w:val="8"/>
        <w:ind w:left="640" w:firstLine="0"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（四）负责卫生健康和医疗质量控制管理服务工作。</w:t>
      </w:r>
    </w:p>
    <w:p>
      <w:pPr>
        <w:pStyle w:val="8"/>
        <w:ind w:left="640" w:firstLine="0"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（五）协助实施行政区域内卫生计生监督信息的汇总、核实、分析、上报。</w:t>
      </w:r>
    </w:p>
    <w:p>
      <w:pPr>
        <w:pStyle w:val="8"/>
        <w:ind w:left="640" w:firstLine="0"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（六）协助管理市卫生健康系统人事档案工作。</w:t>
      </w:r>
    </w:p>
    <w:p>
      <w:pPr>
        <w:ind w:left="640"/>
        <w:rPr>
          <w:rFonts w:hint="eastAsia" w:ascii="黑体" w:hAnsi="黑体" w:eastAsia="黑体" w:cs="黑体"/>
          <w:sz w:val="32"/>
          <w:szCs w:val="32"/>
        </w:rPr>
      </w:pPr>
      <w:r>
        <w:rPr>
          <w:rFonts w:hint="eastAsia" w:ascii="仿宋_GB2312" w:hAnsi="黑体" w:eastAsia="仿宋_GB2312" w:cs="仿宋_GB2312"/>
          <w:sz w:val="32"/>
          <w:szCs w:val="32"/>
        </w:rPr>
        <w:t>（七）承办上级主管部门交办的其他工作。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highlight w:val="none"/>
        </w:rPr>
      </w:pPr>
      <w:bookmarkStart w:id="14" w:name="_Toc4833_WPSOffice_Level2"/>
      <w:bookmarkStart w:id="15" w:name="_Toc6572_WPSOffice_Level2"/>
      <w:bookmarkStart w:id="16" w:name="_Toc24059_WPSOffice_Level2"/>
      <w:bookmarkStart w:id="17" w:name="_Toc24474_WPSOffice_Level2"/>
      <w:bookmarkStart w:id="18" w:name="_Toc17796_WPSOffice_Level2"/>
      <w:r>
        <w:rPr>
          <w:rFonts w:hint="eastAsia" w:ascii="黑体" w:hAnsi="黑体" w:eastAsia="黑体" w:cs="黑体"/>
          <w:color w:val="000000"/>
          <w:sz w:val="32"/>
          <w:szCs w:val="32"/>
          <w:highlight w:val="none"/>
        </w:rPr>
        <w:t>二、机构设置</w:t>
      </w:r>
      <w:bookmarkEnd w:id="14"/>
      <w:bookmarkEnd w:id="15"/>
      <w:bookmarkEnd w:id="16"/>
      <w:bookmarkEnd w:id="17"/>
      <w:bookmarkEnd w:id="18"/>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ˎ̥" w:eastAsia="仿宋_GB2312"/>
          <w:sz w:val="32"/>
          <w:szCs w:val="32"/>
        </w:rPr>
      </w:pPr>
      <w:bookmarkStart w:id="19" w:name="_Toc30690_WPSOffice_Level1"/>
      <w:bookmarkStart w:id="20" w:name="_Toc28253_WPSOffice_Level1"/>
      <w:bookmarkStart w:id="21" w:name="_Toc6234_WPSOffice_Level1"/>
      <w:bookmarkStart w:id="22" w:name="_Toc30451_WPSOffice_Level1"/>
      <w:bookmarkStart w:id="23" w:name="_Toc8164_WPSOffice_Level1"/>
      <w:bookmarkStart w:id="24" w:name="_Toc15521_WPSOffice_Level1"/>
      <w:bookmarkStart w:id="25" w:name="_Toc8867_WPSOffice_Level2"/>
      <w:bookmarkStart w:id="26" w:name="_Toc4029_WPSOffice_Level2"/>
      <w:bookmarkStart w:id="27" w:name="_Toc6211_WPSOffice_Level2"/>
      <w:bookmarkStart w:id="28" w:name="_Toc32695_WPSOffice_Level2"/>
      <w:bookmarkStart w:id="29" w:name="_Toc32472_WPSOffice_Level2"/>
      <w:bookmarkStart w:id="30" w:name="_Toc11518_WPSOffice_Level2"/>
      <w:r>
        <w:rPr>
          <w:rFonts w:hint="eastAsia" w:ascii="仿宋_GB2312" w:hAnsi="ˎ̥" w:eastAsia="仿宋_GB2312"/>
          <w:sz w:val="32"/>
          <w:szCs w:val="32"/>
        </w:rPr>
        <w:t>三亚市卫生健康服务中心内设机构包括：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ˎ̥" w:eastAsia="仿宋_GB2312"/>
          <w:sz w:val="32"/>
          <w:szCs w:val="32"/>
        </w:rPr>
      </w:pPr>
      <w:r>
        <w:rPr>
          <w:rFonts w:hint="eastAsia" w:ascii="仿宋_GB2312" w:hAnsi="ˎ̥" w:eastAsia="仿宋_GB2312"/>
          <w:sz w:val="32"/>
          <w:szCs w:val="32"/>
        </w:rPr>
        <w:t>（一）办公室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ˎ̥" w:eastAsia="仿宋_GB2312"/>
          <w:sz w:val="32"/>
          <w:szCs w:val="32"/>
        </w:rPr>
      </w:pPr>
      <w:r>
        <w:rPr>
          <w:rFonts w:hint="eastAsia" w:ascii="仿宋_GB2312" w:hAnsi="ˎ̥" w:eastAsia="仿宋_GB2312"/>
          <w:sz w:val="32"/>
          <w:szCs w:val="32"/>
        </w:rPr>
        <w:t>（二）财务室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ˎ̥" w:eastAsia="仿宋_GB2312"/>
          <w:sz w:val="32"/>
          <w:szCs w:val="32"/>
        </w:rPr>
      </w:pPr>
      <w:r>
        <w:rPr>
          <w:rFonts w:hint="eastAsia" w:ascii="仿宋_GB2312" w:hAnsi="ˎ̥" w:eastAsia="仿宋_GB2312"/>
          <w:sz w:val="32"/>
          <w:szCs w:val="32"/>
        </w:rPr>
        <w:t>（三）避孕药具科室</w:t>
      </w:r>
    </w:p>
    <w:p>
      <w:pPr>
        <w:numPr>
          <w:ilvl w:val="0"/>
          <w:numId w:val="0"/>
        </w:numPr>
        <w:rPr>
          <w:rFonts w:hint="eastAsia" w:ascii="仿宋_GB2312" w:hAnsi="ˎ̥" w:eastAsia="仿宋_GB2312"/>
          <w:sz w:val="32"/>
          <w:szCs w:val="32"/>
        </w:rPr>
      </w:pPr>
      <w:r>
        <w:rPr>
          <w:rFonts w:hint="eastAsia" w:ascii="楷体" w:hAnsi="楷体" w:eastAsia="楷体" w:cs="楷体"/>
          <w:sz w:val="32"/>
          <w:szCs w:val="32"/>
          <w:lang w:val="en-US" w:eastAsia="zh-CN"/>
        </w:rPr>
        <w:t xml:space="preserve">    （四）</w:t>
      </w:r>
      <w:r>
        <w:rPr>
          <w:rFonts w:hint="eastAsia" w:ascii="楷体" w:hAnsi="楷体" w:eastAsia="楷体" w:cs="楷体"/>
          <w:sz w:val="32"/>
          <w:szCs w:val="32"/>
        </w:rPr>
        <w:t>健康宣传教育科室</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ˎ̥" w:eastAsia="黑体"/>
          <w:color w:val="000000"/>
          <w:sz w:val="32"/>
          <w:szCs w:val="32"/>
          <w:highlight w:val="none"/>
        </w:rPr>
      </w:pPr>
      <w:r>
        <w:rPr>
          <w:rFonts w:hint="eastAsia" w:ascii="黑体" w:hAnsi="ˎ̥" w:eastAsia="黑体"/>
          <w:color w:val="000000"/>
          <w:sz w:val="32"/>
          <w:szCs w:val="32"/>
          <w:highlight w:val="none"/>
        </w:rPr>
        <w:t>第二部分  2022年度部门决算公开报表</w:t>
      </w:r>
      <w:bookmarkEnd w:id="19"/>
      <w:bookmarkEnd w:id="20"/>
      <w:bookmarkEnd w:id="21"/>
      <w:bookmarkEnd w:id="22"/>
      <w:bookmarkEnd w:id="23"/>
      <w:bookmarkEnd w:id="24"/>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hAnsi="黑体" w:eastAsia="黑体" w:cs="黑体"/>
          <w:color w:val="000000"/>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一、收入支出决算公开表</w:t>
      </w:r>
      <w:bookmarkEnd w:id="25"/>
      <w:bookmarkEnd w:id="26"/>
      <w:bookmarkEnd w:id="27"/>
      <w:bookmarkEnd w:id="28"/>
      <w:bookmarkEnd w:id="29"/>
      <w:bookmarkEnd w:id="30"/>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hAnsi="黑体" w:eastAsia="黑体" w:cs="黑体"/>
          <w:color w:val="000000"/>
          <w:sz w:val="32"/>
          <w:szCs w:val="32"/>
          <w:highlight w:val="none"/>
        </w:rPr>
      </w:pPr>
      <w:bookmarkStart w:id="31" w:name="_Toc28622_WPSOffice_Level2"/>
      <w:bookmarkStart w:id="32" w:name="_Toc23139_WPSOffice_Level2"/>
      <w:bookmarkStart w:id="33" w:name="_Toc26621_WPSOffice_Level2"/>
      <w:bookmarkStart w:id="34" w:name="_Toc25608_WPSOffice_Level2"/>
      <w:bookmarkStart w:id="35" w:name="_Toc14349_WPSOffice_Level2"/>
      <w:bookmarkStart w:id="36" w:name="_Toc30334_WPSOffice_Level2"/>
      <w:r>
        <w:rPr>
          <w:rFonts w:hint="eastAsia" w:ascii="黑体" w:hAnsi="黑体" w:eastAsia="黑体" w:cs="黑体"/>
          <w:color w:val="000000"/>
          <w:sz w:val="32"/>
          <w:szCs w:val="32"/>
          <w:highlight w:val="none"/>
        </w:rPr>
        <w:t>二、收入决算公开表</w:t>
      </w:r>
      <w:bookmarkEnd w:id="31"/>
      <w:bookmarkEnd w:id="32"/>
      <w:bookmarkEnd w:id="33"/>
      <w:bookmarkEnd w:id="34"/>
      <w:bookmarkEnd w:id="35"/>
      <w:bookmarkEnd w:id="36"/>
      <w:bookmarkStart w:id="37" w:name="_Toc17626_WPSOffice_Level2"/>
      <w:bookmarkStart w:id="38" w:name="_Toc14658_WPSOffice_Level2"/>
      <w:bookmarkStart w:id="39" w:name="_Toc17858_WPSOffice_Level2"/>
      <w:bookmarkStart w:id="40" w:name="_Toc3262_WPSOffice_Level2"/>
      <w:bookmarkStart w:id="41" w:name="_Toc13854_WPSOffice_Level2"/>
      <w:bookmarkStart w:id="42" w:name="_Toc5489_WPSOffice_Level2"/>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三、支出决算公开表</w:t>
      </w:r>
      <w:bookmarkEnd w:id="37"/>
      <w:bookmarkEnd w:id="38"/>
      <w:bookmarkEnd w:id="39"/>
      <w:bookmarkEnd w:id="40"/>
      <w:bookmarkEnd w:id="41"/>
      <w:bookmarkEnd w:id="42"/>
      <w:bookmarkStart w:id="43" w:name="_Toc4265_WPSOffice_Level2"/>
      <w:bookmarkStart w:id="44" w:name="_Toc13701_WPSOffice_Level2"/>
      <w:bookmarkStart w:id="45" w:name="_Toc21415_WPSOffice_Level2"/>
      <w:bookmarkStart w:id="46" w:name="_Toc7988_WPSOffice_Level2"/>
      <w:bookmarkStart w:id="47" w:name="_Toc23591_WPSOffice_Level2"/>
      <w:bookmarkStart w:id="48" w:name="_Toc23493_WPSOffice_Level2"/>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四、财政拨款收入支出决算公开表</w:t>
      </w:r>
      <w:bookmarkEnd w:id="43"/>
      <w:bookmarkEnd w:id="44"/>
      <w:bookmarkEnd w:id="45"/>
      <w:bookmarkEnd w:id="46"/>
      <w:bookmarkEnd w:id="47"/>
      <w:bookmarkEnd w:id="48"/>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hAnsi="黑体" w:eastAsia="黑体" w:cs="黑体"/>
          <w:color w:val="000000"/>
          <w:sz w:val="32"/>
          <w:szCs w:val="32"/>
          <w:highlight w:val="none"/>
        </w:rPr>
      </w:pPr>
      <w:bookmarkStart w:id="49" w:name="_Toc7879_WPSOffice_Level2"/>
      <w:bookmarkStart w:id="50" w:name="_Toc22783_WPSOffice_Level2"/>
      <w:bookmarkStart w:id="51" w:name="_Toc25166_WPSOffice_Level2"/>
      <w:bookmarkStart w:id="52" w:name="_Toc23829_WPSOffice_Level2"/>
      <w:bookmarkStart w:id="53" w:name="_Toc2158_WPSOffice_Level2"/>
      <w:bookmarkStart w:id="54" w:name="_Toc13516_WPSOffice_Level2"/>
      <w:r>
        <w:rPr>
          <w:rFonts w:hint="eastAsia" w:ascii="黑体" w:hAnsi="黑体" w:eastAsia="黑体" w:cs="黑体"/>
          <w:color w:val="000000"/>
          <w:sz w:val="32"/>
          <w:szCs w:val="32"/>
          <w:highlight w:val="none"/>
        </w:rPr>
        <w:t>五、一般公共预算财政拨款收入支出决算</w:t>
      </w:r>
      <w:bookmarkEnd w:id="49"/>
      <w:bookmarkEnd w:id="50"/>
      <w:bookmarkEnd w:id="51"/>
      <w:bookmarkEnd w:id="52"/>
      <w:r>
        <w:rPr>
          <w:rFonts w:hint="eastAsia" w:ascii="黑体" w:hAnsi="黑体" w:eastAsia="黑体" w:cs="黑体"/>
          <w:color w:val="000000"/>
          <w:sz w:val="32"/>
          <w:szCs w:val="32"/>
          <w:highlight w:val="none"/>
        </w:rPr>
        <w:t>公开表</w:t>
      </w:r>
      <w:bookmarkEnd w:id="53"/>
      <w:bookmarkEnd w:id="54"/>
      <w:bookmarkStart w:id="55" w:name="_Toc17283_WPSOffice_Level2"/>
      <w:bookmarkStart w:id="56" w:name="_Toc8373_WPSOffice_Level2"/>
      <w:bookmarkStart w:id="57" w:name="_Toc17833_WPSOffice_Level2"/>
      <w:bookmarkStart w:id="58" w:name="_Toc5343_WPSOffice_Level2"/>
      <w:bookmarkStart w:id="59" w:name="_Toc25362_WPSOffice_Level2"/>
      <w:bookmarkStart w:id="60" w:name="_Toc2632_WPSOffice_Level2"/>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六、一般公共预算财政拨款基本支出决算</w:t>
      </w:r>
      <w:bookmarkEnd w:id="55"/>
      <w:bookmarkEnd w:id="56"/>
      <w:bookmarkEnd w:id="57"/>
      <w:bookmarkEnd w:id="58"/>
      <w:bookmarkEnd w:id="59"/>
      <w:bookmarkEnd w:id="60"/>
      <w:r>
        <w:rPr>
          <w:rFonts w:hint="eastAsia" w:ascii="黑体" w:hAnsi="黑体" w:eastAsia="黑体" w:cs="黑体"/>
          <w:color w:val="000000"/>
          <w:sz w:val="32"/>
          <w:szCs w:val="32"/>
          <w:highlight w:val="none"/>
        </w:rPr>
        <w:t>公开表</w:t>
      </w:r>
    </w:p>
    <w:p>
      <w:pPr>
        <w:keepNext w:val="0"/>
        <w:keepLines w:val="0"/>
        <w:pageBreakBefore w:val="0"/>
        <w:kinsoku/>
        <w:wordWrap/>
        <w:overflowPunct/>
        <w:topLinePunct w:val="0"/>
        <w:autoSpaceDE/>
        <w:autoSpaceDN/>
        <w:bidi w:val="0"/>
        <w:adjustRightInd/>
        <w:snapToGrid/>
        <w:spacing w:line="560" w:lineRule="exact"/>
        <w:ind w:left="1118" w:leftChars="304" w:hanging="480" w:hangingChars="150"/>
        <w:textAlignment w:val="auto"/>
        <w:rPr>
          <w:rFonts w:hint="eastAsia" w:ascii="黑体" w:hAnsi="黑体" w:eastAsia="黑体" w:cs="黑体"/>
          <w:color w:val="000000"/>
          <w:sz w:val="32"/>
          <w:szCs w:val="32"/>
          <w:highlight w:val="none"/>
        </w:rPr>
      </w:pPr>
      <w:bookmarkStart w:id="61" w:name="_Toc21310_WPSOffice_Level2"/>
      <w:bookmarkStart w:id="62" w:name="_Toc1533_WPSOffice_Level2"/>
      <w:bookmarkStart w:id="63" w:name="_Toc13345_WPSOffice_Level2"/>
      <w:bookmarkStart w:id="64" w:name="_Toc11799_WPSOffice_Level2"/>
      <w:bookmarkStart w:id="65" w:name="_Toc6020_WPSOffice_Level2"/>
      <w:bookmarkStart w:id="66" w:name="_Toc5594_WPSOffice_Level2"/>
      <w:r>
        <w:rPr>
          <w:rFonts w:hint="eastAsia" w:ascii="黑体" w:hAnsi="黑体" w:eastAsia="黑体" w:cs="黑体"/>
          <w:color w:val="000000"/>
          <w:sz w:val="32"/>
          <w:szCs w:val="32"/>
          <w:highlight w:val="none"/>
        </w:rPr>
        <w:t>七、政府性基金预算财政拨款收入支出决算</w:t>
      </w:r>
      <w:bookmarkEnd w:id="61"/>
      <w:bookmarkEnd w:id="62"/>
      <w:bookmarkEnd w:id="63"/>
      <w:bookmarkEnd w:id="64"/>
      <w:bookmarkEnd w:id="65"/>
      <w:bookmarkEnd w:id="66"/>
      <w:r>
        <w:rPr>
          <w:rFonts w:hint="eastAsia" w:ascii="黑体" w:hAnsi="黑体" w:eastAsia="黑体" w:cs="黑体"/>
          <w:color w:val="000000"/>
          <w:sz w:val="32"/>
          <w:szCs w:val="32"/>
          <w:highlight w:val="none"/>
        </w:rPr>
        <w:t>公开表</w:t>
      </w:r>
    </w:p>
    <w:p>
      <w:pPr>
        <w:keepNext w:val="0"/>
        <w:keepLines w:val="0"/>
        <w:pageBreakBefore w:val="0"/>
        <w:kinsoku/>
        <w:wordWrap/>
        <w:overflowPunct/>
        <w:topLinePunct w:val="0"/>
        <w:autoSpaceDE/>
        <w:autoSpaceDN/>
        <w:bidi w:val="0"/>
        <w:adjustRightInd/>
        <w:snapToGrid/>
        <w:spacing w:line="560" w:lineRule="exact"/>
        <w:ind w:left="1118" w:leftChars="304" w:hanging="480" w:hangingChars="150"/>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八、国有资本经营预算财政拨款收入支出决算公开表</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color w:val="000000"/>
          <w:sz w:val="32"/>
          <w:szCs w:val="32"/>
          <w:highlight w:val="none"/>
        </w:rPr>
      </w:pPr>
      <w:bookmarkStart w:id="67" w:name="_Toc29886_WPSOffice_Level2"/>
      <w:bookmarkStart w:id="68" w:name="_Toc1820_WPSOffice_Level2"/>
      <w:bookmarkStart w:id="69" w:name="_Toc19961_WPSOffice_Level2"/>
      <w:bookmarkStart w:id="70" w:name="_Toc9377_WPSOffice_Level2"/>
      <w:r>
        <w:rPr>
          <w:rFonts w:hint="eastAsia" w:ascii="黑体" w:hAnsi="黑体" w:eastAsia="黑体" w:cs="黑体"/>
          <w:color w:val="000000"/>
          <w:sz w:val="32"/>
          <w:szCs w:val="32"/>
          <w:highlight w:val="none"/>
        </w:rPr>
        <w:t>九、财政拨款“三公”经费支出决算</w:t>
      </w:r>
      <w:bookmarkEnd w:id="67"/>
      <w:bookmarkEnd w:id="68"/>
      <w:bookmarkEnd w:id="69"/>
      <w:bookmarkEnd w:id="70"/>
      <w:r>
        <w:rPr>
          <w:rFonts w:hint="eastAsia" w:ascii="黑体" w:hAnsi="黑体" w:eastAsia="黑体" w:cs="黑体"/>
          <w:color w:val="000000"/>
          <w:sz w:val="32"/>
          <w:szCs w:val="32"/>
          <w:highlight w:val="none"/>
        </w:rPr>
        <w:t>公开表</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color w:val="000000"/>
          <w:sz w:val="32"/>
          <w:szCs w:val="32"/>
          <w:highlight w:val="none"/>
        </w:rPr>
      </w:pPr>
      <w:r>
        <w:rPr>
          <w:rFonts w:hint="eastAsia" w:ascii="黑体" w:hAnsi="黑体" w:eastAsia="黑体" w:cs="黑体"/>
          <w:color w:val="000000"/>
          <w:w w:val="96"/>
          <w:sz w:val="32"/>
          <w:szCs w:val="32"/>
          <w:highlight w:val="none"/>
        </w:rPr>
        <w:t>以上报表见附件</w:t>
      </w:r>
      <w:r>
        <w:rPr>
          <w:rFonts w:hint="eastAsia" w:ascii="黑体" w:hAnsi="黑体" w:eastAsia="黑体" w:cs="黑体"/>
          <w:color w:val="000000"/>
          <w:w w:val="96"/>
          <w:sz w:val="32"/>
          <w:szCs w:val="32"/>
          <w:highlight w:val="none"/>
          <w:lang w:val="en-US" w:eastAsia="zh-CN"/>
        </w:rPr>
        <w:t>1</w:t>
      </w:r>
      <w:r>
        <w:rPr>
          <w:rFonts w:hint="eastAsia" w:ascii="黑体" w:hAnsi="黑体" w:eastAsia="黑体" w:cs="黑体"/>
          <w:color w:val="000000"/>
          <w:w w:val="96"/>
          <w:sz w:val="32"/>
          <w:szCs w:val="32"/>
          <w:highlight w:val="none"/>
        </w:rPr>
        <w:t xml:space="preserve">。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sz w:val="32"/>
          <w:szCs w:val="32"/>
          <w:highlight w:val="none"/>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ˎ̥" w:eastAsia="黑体"/>
          <w:color w:val="000000"/>
          <w:sz w:val="32"/>
          <w:szCs w:val="32"/>
          <w:highlight w:val="none"/>
        </w:rPr>
      </w:pPr>
      <w:bookmarkStart w:id="71" w:name="_Toc27590_WPSOffice_Level1"/>
      <w:bookmarkStart w:id="72" w:name="_Toc29683_WPSOffice_Level1"/>
      <w:bookmarkStart w:id="73" w:name="_Toc4402_WPSOffice_Level1"/>
      <w:bookmarkStart w:id="74" w:name="_Toc16686_WPSOffice_Level1"/>
      <w:bookmarkStart w:id="75" w:name="_Toc31264_WPSOffice_Level1"/>
      <w:bookmarkStart w:id="76" w:name="_Toc28629_WPSOffice_Level1"/>
      <w:r>
        <w:rPr>
          <w:rFonts w:hint="eastAsia" w:ascii="黑体" w:hAnsi="ˎ̥" w:eastAsia="黑体"/>
          <w:color w:val="000000"/>
          <w:sz w:val="32"/>
          <w:szCs w:val="32"/>
          <w:highlight w:val="none"/>
        </w:rPr>
        <w:t>第三部分  2022年度部门决算情况说明</w:t>
      </w:r>
      <w:bookmarkEnd w:id="71"/>
      <w:bookmarkEnd w:id="72"/>
      <w:bookmarkEnd w:id="73"/>
      <w:bookmarkEnd w:id="74"/>
      <w:bookmarkEnd w:id="75"/>
      <w:bookmarkEnd w:id="76"/>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ˎ̥" w:eastAsia="黑体"/>
          <w:color w:val="000000"/>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黑体" w:hAnsi="黑体" w:eastAsia="黑体" w:cs="黑体"/>
          <w:bCs/>
          <w:color w:val="000000"/>
          <w:sz w:val="32"/>
          <w:szCs w:val="32"/>
          <w:highlight w:val="none"/>
        </w:rPr>
        <w:t>一、收入支出总体情况说明</w:t>
      </w:r>
      <w:r>
        <w:rPr>
          <w:rFonts w:hint="eastAsia" w:ascii="黑体" w:hAnsi="黑体" w:eastAsia="黑体" w:cs="黑体"/>
          <w:bCs/>
          <w:color w:val="000000"/>
          <w:sz w:val="32"/>
          <w:szCs w:val="32"/>
          <w:highlight w:val="none"/>
        </w:rPr>
        <w:br w:type="textWrapping"/>
      </w:r>
      <w:r>
        <w:rPr>
          <w:rFonts w:hint="eastAsia" w:ascii="楷体_GB2312" w:hAnsi="ˎ̥" w:eastAsia="楷体_GB2312"/>
          <w:color w:val="000000"/>
          <w:sz w:val="32"/>
          <w:szCs w:val="32"/>
          <w:highlight w:val="none"/>
        </w:rPr>
        <w:t xml:space="preserve">    </w:t>
      </w:r>
      <w:r>
        <w:rPr>
          <w:rFonts w:hint="eastAsia" w:ascii="仿宋_GB2312" w:hAnsi="ˎ̥" w:eastAsia="仿宋_GB2312"/>
          <w:color w:val="000000"/>
          <w:sz w:val="32"/>
          <w:szCs w:val="32"/>
          <w:highlight w:val="none"/>
        </w:rPr>
        <w:t>2022年度收入总计</w:t>
      </w:r>
      <w:r>
        <w:rPr>
          <w:rFonts w:hint="eastAsia" w:ascii="仿宋_GB2312" w:hAnsi="ˎ̥" w:eastAsia="仿宋_GB2312"/>
          <w:color w:val="000000"/>
          <w:sz w:val="32"/>
          <w:szCs w:val="32"/>
          <w:highlight w:val="none"/>
          <w:lang w:val="en-US" w:eastAsia="zh-CN"/>
        </w:rPr>
        <w:t>626.07</w:t>
      </w:r>
      <w:r>
        <w:rPr>
          <w:rFonts w:hint="eastAsia" w:ascii="仿宋_GB2312" w:hAnsi="ˎ̥" w:eastAsia="仿宋_GB2312"/>
          <w:color w:val="000000"/>
          <w:sz w:val="32"/>
          <w:szCs w:val="32"/>
          <w:highlight w:val="none"/>
        </w:rPr>
        <w:t>万元，支出总计</w:t>
      </w:r>
      <w:r>
        <w:rPr>
          <w:rFonts w:hint="eastAsia" w:ascii="仿宋_GB2312" w:hAnsi="ˎ̥" w:eastAsia="仿宋_GB2312"/>
          <w:color w:val="000000"/>
          <w:sz w:val="32"/>
          <w:szCs w:val="32"/>
          <w:highlight w:val="none"/>
          <w:lang w:val="en-US" w:eastAsia="zh-CN"/>
        </w:rPr>
        <w:t>626.07</w:t>
      </w:r>
      <w:r>
        <w:rPr>
          <w:rFonts w:hint="eastAsia" w:ascii="仿宋_GB2312" w:hAnsi="ˎ̥" w:eastAsia="仿宋_GB2312"/>
          <w:color w:val="000000"/>
          <w:sz w:val="32"/>
          <w:szCs w:val="32"/>
          <w:highlight w:val="none"/>
        </w:rPr>
        <w:t>万元，与2021年度相比，收入、支出总计各增加</w:t>
      </w:r>
      <w:r>
        <w:rPr>
          <w:rFonts w:hint="eastAsia" w:ascii="仿宋_GB2312" w:hAnsi="ˎ̥" w:eastAsia="仿宋_GB2312"/>
          <w:color w:val="000000"/>
          <w:sz w:val="32"/>
          <w:szCs w:val="32"/>
          <w:highlight w:val="none"/>
          <w:lang w:val="en-US" w:eastAsia="zh-CN"/>
        </w:rPr>
        <w:t>82.33</w:t>
      </w:r>
      <w:r>
        <w:rPr>
          <w:rFonts w:hint="eastAsia" w:ascii="仿宋_GB2312" w:hAnsi="ˎ̥" w:eastAsia="仿宋_GB2312"/>
          <w:color w:val="000000"/>
          <w:sz w:val="32"/>
          <w:szCs w:val="32"/>
          <w:highlight w:val="none"/>
        </w:rPr>
        <w:t>万元，增长</w:t>
      </w:r>
      <w:r>
        <w:rPr>
          <w:rFonts w:hint="eastAsia" w:ascii="仿宋_GB2312" w:hAnsi="ˎ̥" w:eastAsia="仿宋_GB2312"/>
          <w:color w:val="000000"/>
          <w:sz w:val="32"/>
          <w:szCs w:val="32"/>
          <w:highlight w:val="none"/>
          <w:lang w:val="en-US" w:eastAsia="zh-CN"/>
        </w:rPr>
        <w:t>15.1</w:t>
      </w:r>
      <w:r>
        <w:rPr>
          <w:rFonts w:hint="eastAsia" w:ascii="仿宋_GB2312" w:hAnsi="ˎ̥" w:eastAsia="仿宋_GB2312"/>
          <w:color w:val="000000"/>
          <w:sz w:val="32"/>
          <w:szCs w:val="32"/>
          <w:highlight w:val="none"/>
        </w:rPr>
        <w:t>%。主要原因：一是</w:t>
      </w:r>
      <w:r>
        <w:rPr>
          <w:rFonts w:hint="eastAsia" w:ascii="仿宋_GB2312" w:hAnsi="ˎ̥" w:eastAsia="仿宋_GB2312"/>
          <w:color w:val="000000"/>
          <w:sz w:val="32"/>
          <w:szCs w:val="32"/>
          <w:highlight w:val="none"/>
          <w:lang w:eastAsia="zh-CN"/>
        </w:rPr>
        <w:t>社保基数上调</w:t>
      </w:r>
      <w:r>
        <w:rPr>
          <w:rFonts w:hint="eastAsia" w:ascii="仿宋_GB2312" w:hAnsi="ˎ̥" w:eastAsia="仿宋_GB2312"/>
          <w:color w:val="000000"/>
          <w:sz w:val="32"/>
          <w:szCs w:val="32"/>
          <w:highlight w:val="none"/>
        </w:rPr>
        <w:t>；二</w:t>
      </w:r>
      <w:r>
        <w:rPr>
          <w:rFonts w:hint="eastAsia" w:ascii="仿宋_GB2312" w:hAnsi="ˎ̥" w:eastAsia="仿宋_GB2312"/>
          <w:color w:val="000000"/>
          <w:sz w:val="32"/>
          <w:szCs w:val="32"/>
          <w:highlight w:val="none"/>
          <w:lang w:eastAsia="zh-CN"/>
        </w:rPr>
        <w:t>是人员工资变变动</w:t>
      </w:r>
      <w:r>
        <w:rPr>
          <w:rFonts w:hint="eastAsia" w:ascii="仿宋_GB2312" w:hAnsi="ˎ̥" w:eastAsia="仿宋_GB2312"/>
          <w:color w:val="000000"/>
          <w:sz w:val="32"/>
          <w:szCs w:val="32"/>
          <w:highlight w:val="none"/>
        </w:rPr>
        <w:t>。使用非财政拨款结余</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万元，较2021年度决算数增加</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万元。年初结转结余</w:t>
      </w:r>
      <w:r>
        <w:rPr>
          <w:rFonts w:hint="eastAsia" w:ascii="仿宋_GB2312" w:hAnsi="ˎ̥" w:eastAsia="仿宋_GB2312"/>
          <w:color w:val="000000"/>
          <w:sz w:val="32"/>
          <w:szCs w:val="32"/>
          <w:highlight w:val="none"/>
          <w:lang w:val="en-US" w:eastAsia="zh-CN"/>
        </w:rPr>
        <w:t>68.31</w:t>
      </w:r>
      <w:r>
        <w:rPr>
          <w:rFonts w:hint="eastAsia" w:ascii="仿宋_GB2312" w:hAnsi="ˎ̥" w:eastAsia="仿宋_GB2312"/>
          <w:color w:val="000000"/>
          <w:sz w:val="32"/>
          <w:szCs w:val="32"/>
          <w:highlight w:val="none"/>
        </w:rPr>
        <w:t>万元，主要是</w:t>
      </w:r>
      <w:r>
        <w:rPr>
          <w:rFonts w:hint="eastAsia" w:ascii="仿宋_GB2312" w:hAnsi="ˎ̥" w:eastAsia="仿宋_GB2312"/>
          <w:sz w:val="32"/>
          <w:szCs w:val="32"/>
        </w:rPr>
        <w:t>受疫情影响，影响资金使用进度</w:t>
      </w:r>
      <w:r>
        <w:rPr>
          <w:rFonts w:hint="eastAsia" w:ascii="仿宋_GB2312" w:hAnsi="ˎ̥" w:eastAsia="仿宋_GB2312"/>
          <w:sz w:val="32"/>
          <w:szCs w:val="32"/>
          <w:lang w:eastAsia="zh-CN"/>
        </w:rPr>
        <w:t>，</w:t>
      </w:r>
      <w:r>
        <w:rPr>
          <w:rFonts w:hint="eastAsia" w:ascii="仿宋_GB2312" w:hAnsi="ˎ̥" w:eastAsia="仿宋_GB2312"/>
          <w:color w:val="000000"/>
          <w:sz w:val="32"/>
          <w:szCs w:val="32"/>
          <w:highlight w:val="none"/>
          <w:lang w:eastAsia="zh-CN"/>
        </w:rPr>
        <w:t>一些项目资金和日常业务经费未及时支付出去</w:t>
      </w:r>
      <w:r>
        <w:rPr>
          <w:rFonts w:hint="eastAsia" w:ascii="仿宋_GB2312" w:hAnsi="ˎ̥" w:eastAsia="仿宋_GB2312"/>
          <w:color w:val="000000"/>
          <w:sz w:val="32"/>
          <w:szCs w:val="32"/>
          <w:highlight w:val="none"/>
        </w:rPr>
        <w:t>，较2021年度决算数增加</w:t>
      </w:r>
      <w:r>
        <w:rPr>
          <w:rFonts w:hint="eastAsia" w:ascii="仿宋_GB2312" w:hAnsi="ˎ̥" w:eastAsia="仿宋_GB2312"/>
          <w:color w:val="000000"/>
          <w:sz w:val="32"/>
          <w:szCs w:val="32"/>
          <w:highlight w:val="none"/>
          <w:lang w:val="en-US" w:eastAsia="zh-CN"/>
        </w:rPr>
        <w:t>19.95</w:t>
      </w:r>
      <w:r>
        <w:rPr>
          <w:rFonts w:hint="eastAsia" w:ascii="仿宋_GB2312" w:hAnsi="ˎ̥" w:eastAsia="仿宋_GB2312"/>
          <w:color w:val="000000"/>
          <w:sz w:val="32"/>
          <w:szCs w:val="32"/>
          <w:highlight w:val="none"/>
        </w:rPr>
        <w:t>万元，增长</w:t>
      </w:r>
      <w:r>
        <w:rPr>
          <w:rFonts w:hint="eastAsia" w:ascii="仿宋_GB2312" w:hAnsi="ˎ̥" w:eastAsia="仿宋_GB2312"/>
          <w:color w:val="000000"/>
          <w:sz w:val="32"/>
          <w:szCs w:val="32"/>
          <w:highlight w:val="none"/>
          <w:lang w:val="en-US" w:eastAsia="zh-CN"/>
        </w:rPr>
        <w:t>41.3</w:t>
      </w:r>
      <w:r>
        <w:rPr>
          <w:rFonts w:hint="eastAsia" w:ascii="仿宋_GB2312" w:hAnsi="ˎ̥" w:eastAsia="仿宋_GB2312"/>
          <w:color w:val="000000"/>
          <w:sz w:val="32"/>
          <w:szCs w:val="32"/>
          <w:highlight w:val="none"/>
        </w:rPr>
        <w:t>%，</w:t>
      </w:r>
      <w:r>
        <w:rPr>
          <w:rFonts w:hint="eastAsia" w:ascii="仿宋_GB2312" w:hAnsi="ˎ̥" w:eastAsia="仿宋_GB2312"/>
          <w:color w:val="auto"/>
          <w:sz w:val="32"/>
          <w:szCs w:val="32"/>
          <w:highlight w:val="none"/>
        </w:rPr>
        <w:t>主要原因是</w:t>
      </w:r>
      <w:r>
        <w:rPr>
          <w:rFonts w:hint="eastAsia" w:ascii="仿宋_GB2312" w:hAnsi="ˎ̥" w:eastAsia="仿宋_GB2312"/>
          <w:color w:val="auto"/>
          <w:sz w:val="32"/>
          <w:szCs w:val="32"/>
          <w:highlight w:val="none"/>
          <w:lang w:eastAsia="zh-CN"/>
        </w:rPr>
        <w:t>支出需求增加，人员经费增加等</w:t>
      </w:r>
      <w:r>
        <w:rPr>
          <w:rFonts w:hint="eastAsia" w:ascii="仿宋_GB2312" w:hAnsi="ˎ̥" w:eastAsia="仿宋_GB2312"/>
          <w:color w:val="000000"/>
          <w:sz w:val="32"/>
          <w:szCs w:val="32"/>
          <w:highlight w:val="none"/>
        </w:rPr>
        <w:t>。结余分配</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万元，较2021年度决算数增加</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万元，增长</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%。年末结转结余</w:t>
      </w:r>
      <w:r>
        <w:rPr>
          <w:rFonts w:hint="eastAsia" w:ascii="仿宋_GB2312" w:hAnsi="ˎ̥" w:eastAsia="仿宋_GB2312"/>
          <w:color w:val="000000"/>
          <w:sz w:val="32"/>
          <w:szCs w:val="32"/>
          <w:highlight w:val="none"/>
          <w:lang w:val="en-US" w:eastAsia="zh-CN"/>
        </w:rPr>
        <w:t>64.72</w:t>
      </w:r>
      <w:r>
        <w:rPr>
          <w:rFonts w:hint="eastAsia" w:ascii="仿宋_GB2312" w:hAnsi="ˎ̥" w:eastAsia="仿宋_GB2312"/>
          <w:color w:val="000000"/>
          <w:sz w:val="32"/>
          <w:szCs w:val="32"/>
          <w:highlight w:val="none"/>
        </w:rPr>
        <w:t>万元，主要是</w:t>
      </w:r>
      <w:r>
        <w:rPr>
          <w:rFonts w:hint="eastAsia" w:ascii="仿宋_GB2312" w:hAnsi="ˎ̥" w:eastAsia="仿宋_GB2312"/>
          <w:color w:val="000000"/>
          <w:sz w:val="32"/>
          <w:szCs w:val="32"/>
          <w:highlight w:val="none"/>
          <w:lang w:eastAsia="zh-CN"/>
        </w:rPr>
        <w:t>一些项目资金和日常业务经费未及时支付出去</w:t>
      </w:r>
      <w:r>
        <w:rPr>
          <w:rFonts w:hint="eastAsia" w:ascii="仿宋_GB2312" w:hAnsi="ˎ̥" w:eastAsia="仿宋_GB2312"/>
          <w:color w:val="000000"/>
          <w:sz w:val="32"/>
          <w:szCs w:val="32"/>
          <w:highlight w:val="none"/>
        </w:rPr>
        <w:t>，较2021年度决算数增加</w:t>
      </w:r>
      <w:r>
        <w:rPr>
          <w:rFonts w:hint="eastAsia" w:ascii="仿宋_GB2312" w:hAnsi="ˎ̥" w:eastAsia="仿宋_GB2312"/>
          <w:color w:val="000000"/>
          <w:sz w:val="32"/>
          <w:szCs w:val="32"/>
          <w:highlight w:val="none"/>
          <w:lang w:val="en-US" w:eastAsia="zh-CN"/>
        </w:rPr>
        <w:t>21.23</w:t>
      </w:r>
      <w:r>
        <w:rPr>
          <w:rFonts w:hint="eastAsia" w:ascii="仿宋_GB2312" w:hAnsi="ˎ̥" w:eastAsia="仿宋_GB2312"/>
          <w:color w:val="000000"/>
          <w:sz w:val="32"/>
          <w:szCs w:val="32"/>
          <w:highlight w:val="none"/>
        </w:rPr>
        <w:t>万元，增长</w:t>
      </w:r>
      <w:r>
        <w:rPr>
          <w:rFonts w:hint="eastAsia" w:ascii="仿宋_GB2312" w:hAnsi="ˎ̥" w:eastAsia="仿宋_GB2312"/>
          <w:color w:val="000000"/>
          <w:sz w:val="32"/>
          <w:szCs w:val="32"/>
          <w:highlight w:val="none"/>
          <w:lang w:val="en-US" w:eastAsia="zh-CN"/>
        </w:rPr>
        <w:t>48.8</w:t>
      </w:r>
      <w:r>
        <w:rPr>
          <w:rFonts w:hint="eastAsia" w:ascii="仿宋_GB2312" w:hAnsi="ˎ̥" w:eastAsia="仿宋_GB2312"/>
          <w:color w:val="000000"/>
          <w:sz w:val="32"/>
          <w:szCs w:val="32"/>
          <w:highlight w:val="none"/>
        </w:rPr>
        <w:t>%，</w:t>
      </w:r>
      <w:r>
        <w:rPr>
          <w:rFonts w:hint="eastAsia" w:ascii="仿宋_GB2312" w:hAnsi="ˎ̥" w:eastAsia="仿宋_GB2312"/>
          <w:color w:val="auto"/>
          <w:sz w:val="32"/>
          <w:szCs w:val="32"/>
          <w:highlight w:val="none"/>
        </w:rPr>
        <w:t>主要原因是</w:t>
      </w:r>
      <w:r>
        <w:rPr>
          <w:rFonts w:hint="eastAsia" w:ascii="仿宋_GB2312" w:hAnsi="ˎ̥" w:eastAsia="仿宋_GB2312"/>
          <w:color w:val="auto"/>
          <w:sz w:val="32"/>
          <w:szCs w:val="32"/>
          <w:highlight w:val="none"/>
          <w:lang w:eastAsia="zh-CN"/>
        </w:rPr>
        <w:t>支出需求增加，人员经费增加</w:t>
      </w:r>
      <w:r>
        <w:rPr>
          <w:rFonts w:hint="eastAsia" w:ascii="仿宋_GB2312" w:hAnsi="ˎ̥" w:eastAsia="仿宋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ˎ̥" w:eastAsia="仿宋_GB2312"/>
          <w:color w:val="000000"/>
          <w:sz w:val="32"/>
          <w:szCs w:val="32"/>
          <w:highlight w:val="yellow"/>
        </w:rPr>
      </w:pPr>
      <w:r>
        <w:rPr>
          <w:rFonts w:hint="eastAsia" w:ascii="仿宋_GB2312" w:hAnsi="ˎ̥" w:eastAsia="仿宋_GB2312"/>
          <w:color w:val="000000"/>
          <w:sz w:val="32"/>
          <w:szCs w:val="32"/>
          <w:highlight w:val="none"/>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黑体" w:hAnsi="黑体" w:eastAsia="黑体" w:cs="黑体"/>
          <w:bCs/>
          <w:color w:val="000000"/>
          <w:sz w:val="32"/>
          <w:szCs w:val="32"/>
          <w:highlight w:val="none"/>
        </w:rPr>
        <w:t>二、收入决算情况说明</w:t>
      </w:r>
      <w:r>
        <w:rPr>
          <w:rFonts w:hint="eastAsia" w:ascii="黑体" w:hAnsi="黑体" w:eastAsia="黑体" w:cs="黑体"/>
          <w:bCs/>
          <w:color w:val="000000"/>
          <w:sz w:val="32"/>
          <w:szCs w:val="32"/>
          <w:highlight w:val="none"/>
        </w:rPr>
        <w:br w:type="textWrapping"/>
      </w:r>
      <w:r>
        <w:rPr>
          <w:rFonts w:hint="eastAsia" w:ascii="仿宋_GB2312" w:hAnsi="ˎ̥" w:eastAsia="仿宋_GB2312"/>
          <w:color w:val="000000"/>
          <w:sz w:val="32"/>
          <w:szCs w:val="32"/>
          <w:highlight w:val="none"/>
        </w:rPr>
        <w:t xml:space="preserve">    本年收入合计</w:t>
      </w:r>
      <w:r>
        <w:rPr>
          <w:rFonts w:hint="eastAsia" w:ascii="仿宋_GB2312" w:hAnsi="ˎ̥" w:eastAsia="仿宋_GB2312"/>
          <w:color w:val="000000"/>
          <w:sz w:val="32"/>
          <w:szCs w:val="32"/>
          <w:highlight w:val="none"/>
          <w:lang w:val="en-US" w:eastAsia="zh-CN"/>
        </w:rPr>
        <w:t>557.76</w:t>
      </w:r>
      <w:r>
        <w:rPr>
          <w:rFonts w:hint="eastAsia" w:ascii="仿宋_GB2312" w:hAnsi="ˎ̥" w:eastAsia="仿宋_GB2312"/>
          <w:color w:val="000000"/>
          <w:sz w:val="32"/>
          <w:szCs w:val="32"/>
          <w:highlight w:val="none"/>
        </w:rPr>
        <w:t>万元，其中：财政拨款收入</w:t>
      </w:r>
      <w:r>
        <w:rPr>
          <w:rFonts w:hint="eastAsia" w:ascii="仿宋_GB2312" w:hAnsi="ˎ̥" w:eastAsia="仿宋_GB2312"/>
          <w:color w:val="000000"/>
          <w:sz w:val="32"/>
          <w:szCs w:val="32"/>
          <w:highlight w:val="none"/>
          <w:lang w:val="en-US" w:eastAsia="zh-CN"/>
        </w:rPr>
        <w:t>557.76</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100</w:t>
      </w:r>
      <w:r>
        <w:rPr>
          <w:rFonts w:hint="eastAsia" w:ascii="仿宋_GB2312" w:hAnsi="ˎ̥" w:eastAsia="仿宋_GB2312"/>
          <w:color w:val="000000"/>
          <w:sz w:val="32"/>
          <w:szCs w:val="32"/>
          <w:highlight w:val="none"/>
        </w:rPr>
        <w:t>%；上级补助收入</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w:t>
      </w:r>
      <w:r>
        <w:rPr>
          <w:rFonts w:hint="eastAsia" w:ascii="仿宋_GB2312" w:hAnsi="ˎ̥" w:eastAsia="仿宋_GB2312"/>
          <w:color w:val="000000"/>
          <w:sz w:val="32"/>
          <w:szCs w:val="32"/>
          <w:highlight w:val="none"/>
          <w:lang w:eastAsia="zh-CN"/>
        </w:rPr>
        <w:t>；</w:t>
      </w:r>
      <w:r>
        <w:rPr>
          <w:rFonts w:hint="eastAsia" w:ascii="仿宋_GB2312" w:hAnsi="ˎ̥" w:eastAsia="仿宋_GB2312"/>
          <w:color w:val="000000"/>
          <w:sz w:val="32"/>
          <w:szCs w:val="32"/>
          <w:highlight w:val="none"/>
        </w:rPr>
        <w:t>事业收入</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w:t>
      </w:r>
      <w:r>
        <w:rPr>
          <w:rFonts w:hint="eastAsia" w:ascii="仿宋_GB2312" w:hAnsi="ˎ̥" w:eastAsia="仿宋_GB2312"/>
          <w:color w:val="000000"/>
          <w:sz w:val="32"/>
          <w:szCs w:val="32"/>
          <w:highlight w:val="none"/>
          <w:lang w:eastAsia="zh-CN"/>
        </w:rPr>
        <w:t>；</w:t>
      </w:r>
      <w:r>
        <w:rPr>
          <w:rFonts w:hint="eastAsia" w:ascii="仿宋_GB2312" w:hAnsi="ˎ̥" w:eastAsia="仿宋_GB2312"/>
          <w:color w:val="000000"/>
          <w:sz w:val="32"/>
          <w:szCs w:val="32"/>
          <w:highlight w:val="none"/>
        </w:rPr>
        <w:t>经营收入</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w:t>
      </w:r>
      <w:r>
        <w:rPr>
          <w:rFonts w:hint="eastAsia" w:ascii="仿宋_GB2312" w:hAnsi="ˎ̥" w:eastAsia="仿宋_GB2312"/>
          <w:color w:val="000000"/>
          <w:sz w:val="32"/>
          <w:szCs w:val="32"/>
          <w:highlight w:val="none"/>
          <w:lang w:eastAsia="zh-CN"/>
        </w:rPr>
        <w:t>；</w:t>
      </w:r>
      <w:r>
        <w:rPr>
          <w:rFonts w:hint="eastAsia" w:ascii="仿宋_GB2312" w:hAnsi="ˎ̥" w:eastAsia="仿宋_GB2312"/>
          <w:color w:val="000000"/>
          <w:sz w:val="32"/>
          <w:szCs w:val="32"/>
          <w:highlight w:val="none"/>
        </w:rPr>
        <w:t>附属单位上缴收入</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%；其他收入</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left="412" w:leftChars="196"/>
        <w:textAlignment w:val="auto"/>
        <w:rPr>
          <w:rFonts w:hint="eastAsia" w:ascii="仿宋_GB2312" w:hAnsi="ˎ̥" w:eastAsia="仿宋_GB2312"/>
          <w:color w:val="000000"/>
          <w:sz w:val="32"/>
          <w:szCs w:val="32"/>
          <w:highlight w:val="yellow"/>
        </w:rPr>
      </w:pPr>
      <w:r>
        <w:rPr>
          <w:rFonts w:hint="eastAsia" w:ascii="仿宋_GB2312" w:hAnsi="ˎ̥" w:eastAsia="仿宋_GB2312"/>
          <w:color w:val="000000"/>
          <w:sz w:val="32"/>
          <w:szCs w:val="32"/>
          <w:highlight w:val="none"/>
        </w:rPr>
        <w:t xml:space="preserve"> </w:t>
      </w:r>
    </w:p>
    <w:p>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eastAsia" w:ascii="黑体" w:hAnsi="黑体" w:eastAsia="黑体" w:cs="黑体"/>
          <w:bCs/>
          <w:color w:val="000000"/>
          <w:sz w:val="32"/>
          <w:szCs w:val="32"/>
          <w:highlight w:val="none"/>
        </w:rPr>
      </w:pPr>
      <w:r>
        <w:rPr>
          <w:rFonts w:hint="eastAsia" w:ascii="黑体" w:hAnsi="黑体" w:eastAsia="黑体" w:cs="黑体"/>
          <w:bCs/>
          <w:color w:val="000000"/>
          <w:sz w:val="32"/>
          <w:szCs w:val="32"/>
          <w:highlight w:val="none"/>
        </w:rPr>
        <w:t>三、支出决算情况说明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本年支出合计</w:t>
      </w:r>
      <w:r>
        <w:rPr>
          <w:rFonts w:hint="eastAsia" w:ascii="仿宋_GB2312" w:hAnsi="ˎ̥" w:eastAsia="仿宋_GB2312"/>
          <w:color w:val="000000"/>
          <w:sz w:val="32"/>
          <w:szCs w:val="32"/>
          <w:highlight w:val="none"/>
          <w:lang w:val="en-US" w:eastAsia="zh-CN"/>
        </w:rPr>
        <w:t>561.35</w:t>
      </w:r>
      <w:r>
        <w:rPr>
          <w:rFonts w:hint="eastAsia" w:ascii="仿宋_GB2312" w:hAnsi="ˎ̥" w:eastAsia="仿宋_GB2312"/>
          <w:color w:val="000000"/>
          <w:sz w:val="32"/>
          <w:szCs w:val="32"/>
          <w:highlight w:val="none"/>
        </w:rPr>
        <w:t>万元，其中：基本支出</w:t>
      </w:r>
      <w:r>
        <w:rPr>
          <w:rFonts w:hint="eastAsia" w:ascii="仿宋_GB2312" w:hAnsi="ˎ̥" w:eastAsia="仿宋_GB2312"/>
          <w:color w:val="000000"/>
          <w:sz w:val="32"/>
          <w:szCs w:val="32"/>
          <w:highlight w:val="none"/>
          <w:lang w:val="en-US" w:eastAsia="zh-CN"/>
        </w:rPr>
        <w:t>499.21</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88.9</w:t>
      </w:r>
      <w:r>
        <w:rPr>
          <w:rFonts w:hint="eastAsia" w:ascii="仿宋_GB2312" w:hAnsi="ˎ̥" w:eastAsia="仿宋_GB2312"/>
          <w:color w:val="000000"/>
          <w:sz w:val="32"/>
          <w:szCs w:val="32"/>
          <w:highlight w:val="none"/>
        </w:rPr>
        <w:t>%；项目支出</w:t>
      </w:r>
      <w:r>
        <w:rPr>
          <w:rFonts w:hint="eastAsia" w:ascii="仿宋_GB2312" w:hAnsi="ˎ̥" w:eastAsia="仿宋_GB2312"/>
          <w:color w:val="000000"/>
          <w:sz w:val="32"/>
          <w:szCs w:val="32"/>
          <w:highlight w:val="none"/>
          <w:lang w:val="en-US" w:eastAsia="zh-CN"/>
        </w:rPr>
        <w:t>62.14</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11.1</w:t>
      </w:r>
      <w:r>
        <w:rPr>
          <w:rFonts w:hint="eastAsia" w:ascii="仿宋_GB2312" w:hAnsi="ˎ̥" w:eastAsia="仿宋_GB2312"/>
          <w:color w:val="000000"/>
          <w:sz w:val="32"/>
          <w:szCs w:val="32"/>
          <w:highlight w:val="none"/>
        </w:rPr>
        <w:t>%；上缴上级支出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%；经营支出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%；对附属单位补助支出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yellow"/>
        </w:rPr>
      </w:pPr>
    </w:p>
    <w:p>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eastAsia" w:ascii="黑体" w:hAnsi="黑体" w:eastAsia="黑体" w:cs="黑体"/>
          <w:bCs/>
          <w:color w:val="000000"/>
          <w:sz w:val="32"/>
          <w:szCs w:val="32"/>
          <w:highlight w:val="none"/>
        </w:rPr>
      </w:pPr>
      <w:r>
        <w:rPr>
          <w:rFonts w:hint="eastAsia" w:ascii="黑体" w:hAnsi="黑体" w:eastAsia="黑体" w:cs="黑体"/>
          <w:bCs/>
          <w:color w:val="000000"/>
          <w:sz w:val="32"/>
          <w:szCs w:val="32"/>
          <w:highlight w:val="none"/>
        </w:rPr>
        <w:t>四、财政拨款收入支出决算总体情况说明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2022年度财政拨款收入</w:t>
      </w:r>
      <w:r>
        <w:rPr>
          <w:rFonts w:hint="eastAsia" w:ascii="仿宋_GB2312" w:hAnsi="ˎ̥" w:eastAsia="仿宋_GB2312"/>
          <w:color w:val="000000"/>
          <w:sz w:val="32"/>
          <w:szCs w:val="32"/>
          <w:highlight w:val="none"/>
          <w:lang w:val="en-US" w:eastAsia="zh-CN"/>
        </w:rPr>
        <w:t>557.56</w:t>
      </w:r>
      <w:r>
        <w:rPr>
          <w:rFonts w:hint="eastAsia" w:ascii="仿宋_GB2312" w:hAnsi="ˎ̥" w:eastAsia="仿宋_GB2312"/>
          <w:color w:val="000000"/>
          <w:sz w:val="32"/>
          <w:szCs w:val="32"/>
          <w:highlight w:val="none"/>
        </w:rPr>
        <w:t>万元，支出</w:t>
      </w:r>
      <w:r>
        <w:rPr>
          <w:rFonts w:hint="eastAsia" w:ascii="仿宋_GB2312" w:hAnsi="ˎ̥" w:eastAsia="仿宋_GB2312"/>
          <w:color w:val="000000"/>
          <w:sz w:val="32"/>
          <w:szCs w:val="32"/>
          <w:highlight w:val="none"/>
          <w:lang w:val="en-US" w:eastAsia="zh-CN"/>
        </w:rPr>
        <w:t>557.76</w:t>
      </w:r>
      <w:r>
        <w:rPr>
          <w:rFonts w:hint="eastAsia" w:ascii="仿宋_GB2312" w:hAnsi="ˎ̥" w:eastAsia="仿宋_GB2312"/>
          <w:color w:val="000000"/>
          <w:sz w:val="32"/>
          <w:szCs w:val="32"/>
          <w:highlight w:val="none"/>
        </w:rPr>
        <w:t>万元。与2021年度相比，财政拨款收入、支出各增加</w:t>
      </w:r>
      <w:r>
        <w:rPr>
          <w:rFonts w:hint="eastAsia" w:ascii="仿宋_GB2312" w:hAnsi="ˎ̥" w:eastAsia="仿宋_GB2312"/>
          <w:color w:val="000000"/>
          <w:sz w:val="32"/>
          <w:szCs w:val="32"/>
          <w:highlight w:val="none"/>
          <w:lang w:val="en-US" w:eastAsia="zh-CN"/>
        </w:rPr>
        <w:t>59.74</w:t>
      </w:r>
      <w:r>
        <w:rPr>
          <w:rFonts w:hint="eastAsia" w:ascii="仿宋_GB2312" w:hAnsi="ˎ̥" w:eastAsia="仿宋_GB2312"/>
          <w:color w:val="000000"/>
          <w:sz w:val="32"/>
          <w:szCs w:val="32"/>
          <w:highlight w:val="none"/>
        </w:rPr>
        <w:t>万元，增长</w:t>
      </w:r>
      <w:r>
        <w:rPr>
          <w:rFonts w:hint="eastAsia" w:ascii="仿宋_GB2312" w:hAnsi="ˎ̥" w:eastAsia="仿宋_GB2312"/>
          <w:color w:val="000000"/>
          <w:sz w:val="32"/>
          <w:szCs w:val="32"/>
          <w:highlight w:val="none"/>
          <w:lang w:val="en-US" w:eastAsia="zh-CN"/>
        </w:rPr>
        <w:t>12</w:t>
      </w:r>
      <w:r>
        <w:rPr>
          <w:rFonts w:hint="eastAsia" w:ascii="仿宋_GB2312" w:hAnsi="ˎ̥" w:eastAsia="仿宋_GB2312"/>
          <w:color w:val="000000"/>
          <w:sz w:val="32"/>
          <w:szCs w:val="32"/>
          <w:highlight w:val="none"/>
        </w:rPr>
        <w:t>%。主要原因：一是</w:t>
      </w:r>
      <w:r>
        <w:rPr>
          <w:rFonts w:hint="eastAsia" w:ascii="仿宋_GB2312" w:hAnsi="ˎ̥" w:eastAsia="仿宋_GB2312"/>
          <w:color w:val="000000"/>
          <w:sz w:val="32"/>
          <w:szCs w:val="32"/>
          <w:highlight w:val="none"/>
          <w:lang w:eastAsia="zh-CN"/>
        </w:rPr>
        <w:t>社会保障和就业支出增加</w:t>
      </w:r>
      <w:r>
        <w:rPr>
          <w:rFonts w:hint="eastAsia" w:ascii="仿宋_GB2312" w:hAnsi="ˎ̥" w:eastAsia="仿宋_GB2312"/>
          <w:color w:val="000000"/>
          <w:sz w:val="32"/>
          <w:szCs w:val="32"/>
          <w:highlight w:val="none"/>
        </w:rPr>
        <w:t>；二是</w:t>
      </w:r>
      <w:r>
        <w:rPr>
          <w:rFonts w:hint="eastAsia" w:ascii="仿宋_GB2312" w:hAnsi="ˎ̥" w:eastAsia="仿宋_GB2312"/>
          <w:color w:val="000000"/>
          <w:sz w:val="32"/>
          <w:szCs w:val="32"/>
          <w:highlight w:val="none"/>
          <w:lang w:eastAsia="zh-CN"/>
        </w:rPr>
        <w:t>住房保障支出增加</w:t>
      </w:r>
      <w:r>
        <w:rPr>
          <w:rFonts w:hint="eastAsia" w:ascii="仿宋_GB2312" w:hAnsi="ˎ̥" w:eastAsia="仿宋_GB2312"/>
          <w:color w:val="00000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财政拨款年初结转结余</w:t>
      </w:r>
      <w:r>
        <w:rPr>
          <w:rFonts w:hint="eastAsia" w:ascii="仿宋_GB2312" w:hAnsi="ˎ̥" w:eastAsia="仿宋_GB2312"/>
          <w:color w:val="000000"/>
          <w:sz w:val="32"/>
          <w:szCs w:val="32"/>
          <w:highlight w:val="none"/>
          <w:lang w:val="en-US" w:eastAsia="zh-CN"/>
        </w:rPr>
        <w:t>24.82</w:t>
      </w:r>
      <w:r>
        <w:rPr>
          <w:rFonts w:hint="eastAsia" w:ascii="仿宋_GB2312" w:hAnsi="ˎ̥" w:eastAsia="仿宋_GB2312"/>
          <w:color w:val="000000"/>
          <w:sz w:val="32"/>
          <w:szCs w:val="32"/>
          <w:highlight w:val="none"/>
        </w:rPr>
        <w:t>万元，主要是</w:t>
      </w:r>
      <w:r>
        <w:rPr>
          <w:rFonts w:hint="eastAsia" w:ascii="仿宋_GB2312" w:hAnsi="ˎ̥" w:eastAsia="仿宋_GB2312"/>
          <w:sz w:val="32"/>
          <w:szCs w:val="32"/>
        </w:rPr>
        <w:t>受疫情影响，个别项目无法正常支出</w:t>
      </w:r>
      <w:r>
        <w:rPr>
          <w:rFonts w:hint="eastAsia" w:ascii="仿宋_GB2312" w:hAnsi="ˎ̥" w:eastAsia="仿宋_GB2312"/>
          <w:color w:val="000000"/>
          <w:sz w:val="32"/>
          <w:szCs w:val="32"/>
          <w:highlight w:val="none"/>
          <w:lang w:eastAsia="zh-CN"/>
        </w:rPr>
        <w:t>项目资金及固定支出未及时支付</w:t>
      </w:r>
      <w:r>
        <w:rPr>
          <w:rFonts w:hint="eastAsia" w:ascii="仿宋_GB2312" w:hAnsi="ˎ̥" w:eastAsia="仿宋_GB2312"/>
          <w:color w:val="000000"/>
          <w:sz w:val="32"/>
          <w:szCs w:val="32"/>
          <w:highlight w:val="none"/>
        </w:rPr>
        <w:t>，较2021年度决算数增加</w:t>
      </w:r>
      <w:r>
        <w:rPr>
          <w:rFonts w:hint="eastAsia" w:ascii="仿宋_GB2312" w:hAnsi="ˎ̥" w:eastAsia="仿宋_GB2312"/>
          <w:color w:val="000000"/>
          <w:sz w:val="32"/>
          <w:szCs w:val="32"/>
          <w:highlight w:val="none"/>
          <w:lang w:val="en-US" w:eastAsia="zh-CN"/>
        </w:rPr>
        <w:t>22.18</w:t>
      </w:r>
      <w:r>
        <w:rPr>
          <w:rFonts w:hint="eastAsia" w:ascii="仿宋_GB2312" w:hAnsi="ˎ̥" w:eastAsia="仿宋_GB2312"/>
          <w:color w:val="000000"/>
          <w:sz w:val="32"/>
          <w:szCs w:val="32"/>
          <w:highlight w:val="none"/>
        </w:rPr>
        <w:t>万元，增长</w:t>
      </w:r>
      <w:r>
        <w:rPr>
          <w:rFonts w:hint="eastAsia" w:ascii="仿宋_GB2312" w:hAnsi="ˎ̥" w:eastAsia="仿宋_GB2312"/>
          <w:color w:val="000000"/>
          <w:sz w:val="32"/>
          <w:szCs w:val="32"/>
          <w:highlight w:val="none"/>
          <w:lang w:val="en-US" w:eastAsia="zh-CN"/>
        </w:rPr>
        <w:t>89.4</w:t>
      </w:r>
      <w:r>
        <w:rPr>
          <w:rFonts w:hint="eastAsia" w:ascii="仿宋_GB2312" w:hAnsi="ˎ̥" w:eastAsia="仿宋_GB2312"/>
          <w:color w:val="000000"/>
          <w:sz w:val="32"/>
          <w:szCs w:val="32"/>
          <w:highlight w:val="none"/>
        </w:rPr>
        <w:t>%，</w:t>
      </w:r>
      <w:r>
        <w:rPr>
          <w:rFonts w:hint="eastAsia" w:ascii="仿宋_GB2312" w:hAnsi="ˎ̥" w:eastAsia="仿宋_GB2312"/>
          <w:color w:val="auto"/>
          <w:sz w:val="32"/>
          <w:szCs w:val="32"/>
          <w:highlight w:val="none"/>
        </w:rPr>
        <w:t>主要原因是</w:t>
      </w:r>
      <w:r>
        <w:rPr>
          <w:rFonts w:hint="eastAsia" w:ascii="仿宋_GB2312" w:hAnsi="ˎ̥" w:eastAsia="仿宋_GB2312"/>
          <w:color w:val="auto"/>
          <w:sz w:val="32"/>
          <w:szCs w:val="32"/>
          <w:highlight w:val="none"/>
          <w:lang w:eastAsia="zh-CN"/>
        </w:rPr>
        <w:t>受疫情影响，业务经费支出进度受到影响。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auto"/>
          <w:sz w:val="32"/>
          <w:szCs w:val="32"/>
          <w:highlight w:val="none"/>
          <w:lang w:eastAsia="zh-CN"/>
        </w:rPr>
      </w:pPr>
      <w:r>
        <w:rPr>
          <w:rFonts w:hint="eastAsia" w:ascii="仿宋_GB2312" w:hAnsi="ˎ̥" w:eastAsia="仿宋_GB2312"/>
          <w:color w:val="000000"/>
          <w:sz w:val="32"/>
          <w:szCs w:val="32"/>
          <w:highlight w:val="none"/>
        </w:rPr>
        <w:t>财政拨款年末结转结余</w:t>
      </w:r>
      <w:r>
        <w:rPr>
          <w:rFonts w:hint="eastAsia" w:ascii="仿宋_GB2312" w:hAnsi="ˎ̥" w:eastAsia="仿宋_GB2312"/>
          <w:color w:val="000000"/>
          <w:sz w:val="32"/>
          <w:szCs w:val="32"/>
          <w:highlight w:val="none"/>
          <w:lang w:val="en-US" w:eastAsia="zh-CN"/>
        </w:rPr>
        <w:t>24.82</w:t>
      </w:r>
      <w:r>
        <w:rPr>
          <w:rFonts w:hint="eastAsia" w:ascii="仿宋_GB2312" w:hAnsi="ˎ̥" w:eastAsia="仿宋_GB2312"/>
          <w:color w:val="000000"/>
          <w:sz w:val="32"/>
          <w:szCs w:val="32"/>
          <w:highlight w:val="none"/>
        </w:rPr>
        <w:t>万元，主要是</w:t>
      </w:r>
      <w:r>
        <w:rPr>
          <w:rFonts w:hint="eastAsia" w:ascii="仿宋_GB2312" w:hAnsi="ˎ̥" w:eastAsia="仿宋_GB2312"/>
          <w:color w:val="000000"/>
          <w:sz w:val="32"/>
          <w:szCs w:val="32"/>
          <w:highlight w:val="none"/>
          <w:lang w:eastAsia="zh-CN"/>
        </w:rPr>
        <w:t>项目资金及固定支出未及时支付</w:t>
      </w:r>
      <w:r>
        <w:rPr>
          <w:rFonts w:hint="eastAsia" w:ascii="仿宋_GB2312" w:hAnsi="ˎ̥" w:eastAsia="仿宋_GB2312"/>
          <w:color w:val="000000"/>
          <w:sz w:val="32"/>
          <w:szCs w:val="32"/>
          <w:highlight w:val="none"/>
        </w:rPr>
        <w:t>，较2021年度年末数增加</w:t>
      </w:r>
      <w:r>
        <w:rPr>
          <w:rFonts w:hint="eastAsia" w:ascii="仿宋_GB2312" w:hAnsi="ˎ̥" w:eastAsia="仿宋_GB2312"/>
          <w:color w:val="000000"/>
          <w:sz w:val="32"/>
          <w:szCs w:val="32"/>
          <w:highlight w:val="none"/>
          <w:lang w:val="en-US" w:eastAsia="zh-CN"/>
        </w:rPr>
        <w:t>24.82</w:t>
      </w:r>
      <w:r>
        <w:rPr>
          <w:rFonts w:hint="eastAsia" w:ascii="仿宋_GB2312" w:hAnsi="ˎ̥" w:eastAsia="仿宋_GB2312"/>
          <w:color w:val="000000"/>
          <w:sz w:val="32"/>
          <w:szCs w:val="32"/>
          <w:highlight w:val="none"/>
        </w:rPr>
        <w:t>万元，增长</w:t>
      </w:r>
      <w:r>
        <w:rPr>
          <w:rFonts w:hint="eastAsia" w:ascii="仿宋_GB2312" w:hAnsi="ˎ̥" w:eastAsia="仿宋_GB2312"/>
          <w:color w:val="000000"/>
          <w:sz w:val="32"/>
          <w:szCs w:val="32"/>
          <w:highlight w:val="none"/>
          <w:lang w:val="en-US" w:eastAsia="zh-CN"/>
        </w:rPr>
        <w:t>100</w:t>
      </w:r>
      <w:r>
        <w:rPr>
          <w:rFonts w:hint="eastAsia" w:ascii="仿宋_GB2312" w:hAnsi="ˎ̥" w:eastAsia="仿宋_GB2312"/>
          <w:color w:val="000000"/>
          <w:sz w:val="32"/>
          <w:szCs w:val="32"/>
          <w:highlight w:val="none"/>
        </w:rPr>
        <w:t>%，</w:t>
      </w:r>
      <w:r>
        <w:rPr>
          <w:rFonts w:hint="eastAsia" w:ascii="仿宋_GB2312" w:hAnsi="ˎ̥" w:eastAsia="仿宋_GB2312"/>
          <w:color w:val="auto"/>
          <w:sz w:val="32"/>
          <w:szCs w:val="32"/>
          <w:highlight w:val="none"/>
        </w:rPr>
        <w:t>主要原因是</w:t>
      </w:r>
      <w:r>
        <w:rPr>
          <w:rFonts w:hint="eastAsia" w:ascii="仿宋_GB2312" w:hAnsi="ˎ̥" w:eastAsia="仿宋_GB2312"/>
          <w:color w:val="auto"/>
          <w:sz w:val="32"/>
          <w:szCs w:val="32"/>
          <w:highlight w:val="none"/>
          <w:lang w:eastAsia="zh-CN"/>
        </w:rPr>
        <w:t>受疫情影响，业务经费支出进度受到影响。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auto"/>
          <w:sz w:val="32"/>
          <w:szCs w:val="32"/>
          <w:highlight w:val="none"/>
          <w:lang w:eastAsia="zh-CN"/>
        </w:rPr>
      </w:pPr>
    </w:p>
    <w:p>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eastAsia" w:ascii="黑体" w:hAnsi="黑体" w:eastAsia="黑体" w:cs="黑体"/>
          <w:bCs/>
          <w:color w:val="000000"/>
          <w:sz w:val="32"/>
          <w:szCs w:val="32"/>
          <w:highlight w:val="none"/>
        </w:rPr>
      </w:pPr>
      <w:r>
        <w:rPr>
          <w:rFonts w:hint="eastAsia" w:ascii="黑体" w:hAnsi="黑体" w:eastAsia="黑体" w:cs="黑体"/>
          <w:bCs/>
          <w:color w:val="000000"/>
          <w:sz w:val="32"/>
          <w:szCs w:val="32"/>
          <w:highlight w:val="none"/>
        </w:rPr>
        <w:t>五、一般公共预算财政拨款支出决算情况说明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highlight w:val="none"/>
        </w:rPr>
      </w:pPr>
      <w:bookmarkStart w:id="77" w:name="_Toc13694_WPSOffice_Level2"/>
      <w:bookmarkStart w:id="78" w:name="_Toc17398_WPSOffice_Level2"/>
      <w:bookmarkStart w:id="79" w:name="_Toc19665_WPSOffice_Level2"/>
      <w:bookmarkStart w:id="80" w:name="_Toc21737_WPSOffice_Level2"/>
      <w:bookmarkStart w:id="81" w:name="_Toc9989_WPSOffice_Level2"/>
      <w:bookmarkStart w:id="82" w:name="_Toc23005_WPSOffice_Level2"/>
      <w:r>
        <w:rPr>
          <w:rFonts w:hint="eastAsia" w:ascii="楷体" w:hAnsi="楷体" w:eastAsia="楷体" w:cs="楷体"/>
          <w:color w:val="000000"/>
          <w:sz w:val="32"/>
          <w:szCs w:val="32"/>
          <w:highlight w:val="none"/>
        </w:rPr>
        <w:t>（一）一般公共预算财政拨款支出决算总体情况</w:t>
      </w:r>
      <w:bookmarkEnd w:id="77"/>
      <w:bookmarkEnd w:id="78"/>
      <w:r>
        <w:rPr>
          <w:rFonts w:hint="eastAsia" w:ascii="楷体" w:hAnsi="楷体" w:eastAsia="楷体" w:cs="楷体"/>
          <w:color w:val="000000"/>
          <w:sz w:val="32"/>
          <w:szCs w:val="32"/>
          <w:highlight w:val="none"/>
        </w:rPr>
        <w:t>。</w:t>
      </w:r>
      <w:bookmarkEnd w:id="79"/>
      <w:bookmarkEnd w:id="80"/>
      <w:bookmarkEnd w:id="81"/>
      <w:bookmarkEnd w:id="82"/>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2022年度一般公共预算财政拨款支出</w:t>
      </w:r>
      <w:r>
        <w:rPr>
          <w:rFonts w:hint="eastAsia" w:ascii="仿宋_GB2312" w:hAnsi="ˎ̥" w:eastAsia="仿宋_GB2312"/>
          <w:color w:val="000000"/>
          <w:sz w:val="32"/>
          <w:szCs w:val="32"/>
          <w:highlight w:val="none"/>
          <w:lang w:val="en-US" w:eastAsia="zh-CN"/>
        </w:rPr>
        <w:t>557.76</w:t>
      </w:r>
      <w:r>
        <w:rPr>
          <w:rFonts w:hint="eastAsia" w:ascii="仿宋_GB2312" w:hAnsi="ˎ̥" w:eastAsia="仿宋_GB2312"/>
          <w:color w:val="000000"/>
          <w:sz w:val="32"/>
          <w:szCs w:val="32"/>
          <w:highlight w:val="none"/>
        </w:rPr>
        <w:t>万元，占本年支出合计的</w:t>
      </w:r>
      <w:r>
        <w:rPr>
          <w:rFonts w:hint="eastAsia" w:ascii="仿宋_GB2312" w:hAnsi="ˎ̥" w:eastAsia="仿宋_GB2312"/>
          <w:color w:val="000000"/>
          <w:sz w:val="32"/>
          <w:szCs w:val="32"/>
          <w:highlight w:val="none"/>
          <w:lang w:val="en-US" w:eastAsia="zh-CN"/>
        </w:rPr>
        <w:t>100</w:t>
      </w:r>
      <w:r>
        <w:rPr>
          <w:rFonts w:hint="eastAsia" w:ascii="仿宋_GB2312" w:hAnsi="ˎ̥" w:eastAsia="仿宋_GB2312"/>
          <w:color w:val="000000"/>
          <w:sz w:val="32"/>
          <w:szCs w:val="32"/>
          <w:highlight w:val="none"/>
        </w:rPr>
        <w:t>%。与2021年度相比，一般公共预算财政拨款支出增加</w:t>
      </w:r>
      <w:r>
        <w:rPr>
          <w:rFonts w:hint="eastAsia" w:ascii="仿宋_GB2312" w:hAnsi="ˎ̥" w:eastAsia="仿宋_GB2312"/>
          <w:color w:val="000000"/>
          <w:sz w:val="32"/>
          <w:szCs w:val="32"/>
          <w:highlight w:val="none"/>
          <w:lang w:val="en-US" w:eastAsia="zh-CN"/>
        </w:rPr>
        <w:t>62.38</w:t>
      </w:r>
      <w:r>
        <w:rPr>
          <w:rFonts w:hint="eastAsia" w:ascii="仿宋_GB2312" w:hAnsi="ˎ̥" w:eastAsia="仿宋_GB2312"/>
          <w:color w:val="000000"/>
          <w:sz w:val="32"/>
          <w:szCs w:val="32"/>
          <w:highlight w:val="none"/>
        </w:rPr>
        <w:t>万元，增长</w:t>
      </w:r>
      <w:r>
        <w:rPr>
          <w:rFonts w:hint="eastAsia" w:ascii="仿宋_GB2312" w:hAnsi="ˎ̥" w:eastAsia="仿宋_GB2312"/>
          <w:color w:val="000000"/>
          <w:sz w:val="32"/>
          <w:szCs w:val="32"/>
          <w:highlight w:val="none"/>
          <w:lang w:val="en-US" w:eastAsia="zh-CN"/>
        </w:rPr>
        <w:t>12.6</w:t>
      </w:r>
      <w:r>
        <w:rPr>
          <w:rFonts w:hint="eastAsia" w:ascii="仿宋_GB2312" w:hAnsi="ˎ̥" w:eastAsia="仿宋_GB2312"/>
          <w:color w:val="000000"/>
          <w:sz w:val="32"/>
          <w:szCs w:val="32"/>
          <w:highlight w:val="none"/>
        </w:rPr>
        <w:t>%，主要原因是</w:t>
      </w:r>
      <w:r>
        <w:rPr>
          <w:rFonts w:hint="eastAsia" w:ascii="仿宋_GB2312" w:hAnsi="ˎ̥" w:eastAsia="仿宋_GB2312"/>
          <w:color w:val="000000"/>
          <w:sz w:val="32"/>
          <w:szCs w:val="32"/>
          <w:highlight w:val="none"/>
          <w:lang w:eastAsia="zh-CN"/>
        </w:rPr>
        <w:t>社会保障和就业支出增加</w:t>
      </w:r>
      <w:r>
        <w:rPr>
          <w:rFonts w:hint="eastAsia" w:ascii="仿宋_GB2312" w:hAnsi="ˎ̥" w:eastAsia="仿宋_GB2312"/>
          <w:color w:val="00000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highlight w:val="none"/>
        </w:rPr>
      </w:pPr>
      <w:bookmarkStart w:id="83" w:name="_Toc2711_WPSOffice_Level2"/>
      <w:bookmarkStart w:id="84" w:name="_Toc18793_WPSOffice_Level2"/>
      <w:bookmarkStart w:id="85" w:name="_Toc19535_WPSOffice_Level2"/>
      <w:bookmarkStart w:id="86" w:name="_Toc27767_WPSOffice_Level2"/>
      <w:bookmarkStart w:id="87" w:name="_Toc23864_WPSOffice_Level2"/>
      <w:bookmarkStart w:id="88" w:name="_Toc19075_WPSOffice_Level2"/>
      <w:r>
        <w:rPr>
          <w:rFonts w:hint="eastAsia" w:ascii="楷体" w:hAnsi="楷体" w:eastAsia="楷体" w:cs="楷体"/>
          <w:color w:val="000000"/>
          <w:sz w:val="32"/>
          <w:szCs w:val="32"/>
          <w:highlight w:val="none"/>
        </w:rPr>
        <w:t>（二）一般公共预算财政拨款支出决算结构情况</w:t>
      </w:r>
      <w:bookmarkEnd w:id="83"/>
      <w:bookmarkEnd w:id="84"/>
      <w:r>
        <w:rPr>
          <w:rFonts w:hint="eastAsia" w:ascii="楷体" w:hAnsi="楷体" w:eastAsia="楷体" w:cs="楷体"/>
          <w:color w:val="000000"/>
          <w:sz w:val="32"/>
          <w:szCs w:val="32"/>
          <w:highlight w:val="none"/>
        </w:rPr>
        <w:t>。</w:t>
      </w:r>
      <w:bookmarkEnd w:id="85"/>
      <w:bookmarkEnd w:id="86"/>
      <w:bookmarkEnd w:id="87"/>
      <w:bookmarkEnd w:id="88"/>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lang w:eastAsia="zh-CN"/>
        </w:rPr>
      </w:pPr>
      <w:r>
        <w:rPr>
          <w:rFonts w:hint="eastAsia" w:ascii="仿宋_GB2312" w:hAnsi="ˎ̥" w:eastAsia="仿宋_GB2312"/>
          <w:color w:val="000000"/>
          <w:sz w:val="32"/>
          <w:szCs w:val="32"/>
          <w:highlight w:val="none"/>
        </w:rPr>
        <w:t>2022年度一般公共预算财政拨款支出</w:t>
      </w:r>
      <w:r>
        <w:rPr>
          <w:rFonts w:hint="eastAsia" w:ascii="仿宋_GB2312" w:hAnsi="ˎ̥" w:eastAsia="仿宋_GB2312"/>
          <w:color w:val="000000"/>
          <w:sz w:val="32"/>
          <w:szCs w:val="32"/>
          <w:highlight w:val="none"/>
          <w:lang w:val="en-US" w:eastAsia="zh-CN"/>
        </w:rPr>
        <w:t>557.76</w:t>
      </w:r>
      <w:r>
        <w:rPr>
          <w:rFonts w:hint="eastAsia" w:ascii="仿宋_GB2312" w:hAnsi="ˎ̥" w:eastAsia="仿宋_GB2312"/>
          <w:color w:val="000000"/>
          <w:sz w:val="32"/>
          <w:szCs w:val="32"/>
          <w:highlight w:val="none"/>
        </w:rPr>
        <w:t>万元，主要用于以下方面：</w:t>
      </w:r>
      <w:r>
        <w:rPr>
          <w:rFonts w:hint="eastAsia" w:ascii="仿宋_GB2312" w:hAnsi="ˎ̥" w:eastAsia="仿宋_GB2312"/>
          <w:b/>
          <w:color w:val="000000"/>
          <w:sz w:val="32"/>
          <w:szCs w:val="32"/>
          <w:highlight w:val="none"/>
        </w:rPr>
        <w:t>一般公共服务（类）</w:t>
      </w:r>
      <w:r>
        <w:rPr>
          <w:rFonts w:hint="eastAsia" w:ascii="仿宋_GB2312" w:hAnsi="ˎ̥" w:eastAsia="仿宋_GB2312"/>
          <w:color w:val="000000"/>
          <w:sz w:val="32"/>
          <w:szCs w:val="32"/>
          <w:highlight w:val="none"/>
        </w:rPr>
        <w:t>支出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w:t>
      </w:r>
      <w:r>
        <w:rPr>
          <w:rFonts w:hint="eastAsia" w:ascii="仿宋_GB2312" w:hAnsi="ˎ̥" w:eastAsia="仿宋_GB2312"/>
          <w:b/>
          <w:color w:val="000000"/>
          <w:sz w:val="32"/>
          <w:szCs w:val="32"/>
          <w:highlight w:val="none"/>
        </w:rPr>
        <w:t>社会保障和就业（类）</w:t>
      </w:r>
      <w:r>
        <w:rPr>
          <w:rFonts w:hint="eastAsia" w:ascii="仿宋_GB2312" w:hAnsi="ˎ̥" w:eastAsia="仿宋_GB2312"/>
          <w:color w:val="000000"/>
          <w:sz w:val="32"/>
          <w:szCs w:val="32"/>
          <w:highlight w:val="none"/>
        </w:rPr>
        <w:t>支出</w:t>
      </w:r>
      <w:r>
        <w:rPr>
          <w:rFonts w:hint="eastAsia" w:ascii="仿宋_GB2312" w:hAnsi="ˎ̥" w:eastAsia="仿宋_GB2312"/>
          <w:color w:val="000000"/>
          <w:sz w:val="32"/>
          <w:szCs w:val="32"/>
          <w:highlight w:val="none"/>
          <w:lang w:val="en-US" w:eastAsia="zh-CN"/>
        </w:rPr>
        <w:t>95</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17</w:t>
      </w:r>
      <w:r>
        <w:rPr>
          <w:rFonts w:hint="eastAsia" w:ascii="仿宋_GB2312" w:hAnsi="ˎ̥" w:eastAsia="仿宋_GB2312"/>
          <w:color w:val="000000"/>
          <w:sz w:val="32"/>
          <w:szCs w:val="32"/>
          <w:highlight w:val="none"/>
        </w:rPr>
        <w:t>%；</w:t>
      </w:r>
      <w:r>
        <w:rPr>
          <w:rFonts w:hint="eastAsia" w:ascii="仿宋_GB2312" w:hAnsi="ˎ̥" w:eastAsia="仿宋_GB2312"/>
          <w:b/>
          <w:color w:val="000000"/>
          <w:sz w:val="32"/>
          <w:szCs w:val="32"/>
          <w:highlight w:val="none"/>
        </w:rPr>
        <w:t>卫生健康支出（类）</w:t>
      </w:r>
      <w:r>
        <w:rPr>
          <w:rFonts w:hint="eastAsia" w:ascii="仿宋_GB2312" w:hAnsi="ˎ̥" w:eastAsia="仿宋_GB2312"/>
          <w:color w:val="000000"/>
          <w:sz w:val="32"/>
          <w:szCs w:val="32"/>
          <w:highlight w:val="none"/>
        </w:rPr>
        <w:t>支出</w:t>
      </w:r>
      <w:r>
        <w:rPr>
          <w:rFonts w:hint="eastAsia" w:ascii="仿宋_GB2312" w:hAnsi="ˎ̥" w:eastAsia="仿宋_GB2312"/>
          <w:color w:val="000000"/>
          <w:sz w:val="32"/>
          <w:szCs w:val="32"/>
          <w:highlight w:val="none"/>
          <w:lang w:val="en-US" w:eastAsia="zh-CN"/>
        </w:rPr>
        <w:t>431.6</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77.4</w:t>
      </w:r>
      <w:r>
        <w:rPr>
          <w:rFonts w:hint="eastAsia" w:ascii="仿宋_GB2312" w:hAnsi="ˎ̥" w:eastAsia="仿宋_GB2312"/>
          <w:color w:val="000000"/>
          <w:sz w:val="32"/>
          <w:szCs w:val="32"/>
          <w:highlight w:val="none"/>
        </w:rPr>
        <w:t>%；</w:t>
      </w:r>
      <w:r>
        <w:rPr>
          <w:rFonts w:hint="eastAsia" w:ascii="仿宋_GB2312" w:hAnsi="ˎ̥" w:eastAsia="仿宋_GB2312"/>
          <w:b/>
          <w:bCs/>
          <w:color w:val="000000"/>
          <w:sz w:val="32"/>
          <w:szCs w:val="32"/>
          <w:highlight w:val="none"/>
        </w:rPr>
        <w:t>住房保障（类）</w:t>
      </w:r>
      <w:r>
        <w:rPr>
          <w:rFonts w:hint="eastAsia" w:ascii="仿宋_GB2312" w:hAnsi="ˎ̥" w:eastAsia="仿宋_GB2312"/>
          <w:color w:val="000000"/>
          <w:sz w:val="32"/>
          <w:szCs w:val="32"/>
          <w:highlight w:val="none"/>
        </w:rPr>
        <w:t>支出</w:t>
      </w:r>
      <w:r>
        <w:rPr>
          <w:rFonts w:hint="eastAsia" w:ascii="仿宋_GB2312" w:hAnsi="ˎ̥" w:eastAsia="仿宋_GB2312"/>
          <w:color w:val="000000"/>
          <w:sz w:val="32"/>
          <w:szCs w:val="32"/>
          <w:highlight w:val="none"/>
          <w:lang w:val="en-US" w:eastAsia="zh-CN"/>
        </w:rPr>
        <w:t>31.15</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5.6</w:t>
      </w:r>
      <w:r>
        <w:rPr>
          <w:rFonts w:hint="eastAsia" w:ascii="仿宋_GB2312" w:hAnsi="ˎ̥" w:eastAsia="仿宋_GB2312"/>
          <w:color w:val="000000"/>
          <w:sz w:val="32"/>
          <w:szCs w:val="32"/>
          <w:highlight w:val="none"/>
        </w:rPr>
        <w:t>%</w:t>
      </w:r>
      <w:r>
        <w:rPr>
          <w:rFonts w:hint="eastAsia" w:ascii="仿宋_GB2312" w:hAnsi="ˎ̥" w:eastAsia="仿宋_GB2312"/>
          <w:color w:val="000000"/>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lang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sz w:val="32"/>
          <w:szCs w:val="32"/>
          <w:highlight w:val="none"/>
        </w:rPr>
      </w:pPr>
      <w:bookmarkStart w:id="89" w:name="_Toc29364_WPSOffice_Level2"/>
      <w:bookmarkStart w:id="90" w:name="_Toc9502_WPSOffice_Level2"/>
      <w:bookmarkStart w:id="91" w:name="_Toc25136_WPSOffice_Level2"/>
      <w:bookmarkStart w:id="92" w:name="_Toc21701_WPSOffice_Level2"/>
      <w:bookmarkStart w:id="93" w:name="_Toc15415_WPSOffice_Level2"/>
      <w:bookmarkStart w:id="94" w:name="_Toc22318_WPSOffice_Level2"/>
      <w:r>
        <w:rPr>
          <w:rFonts w:hint="eastAsia" w:ascii="楷体" w:hAnsi="楷体" w:eastAsia="楷体" w:cs="楷体"/>
          <w:color w:val="auto"/>
          <w:sz w:val="32"/>
          <w:szCs w:val="32"/>
          <w:highlight w:val="none"/>
        </w:rPr>
        <w:t>（三）一般公共预算财政拨款支出决算具体情况。</w:t>
      </w:r>
      <w:bookmarkEnd w:id="89"/>
      <w:bookmarkEnd w:id="90"/>
      <w:bookmarkEnd w:id="91"/>
      <w:bookmarkEnd w:id="92"/>
      <w:bookmarkEnd w:id="93"/>
      <w:bookmarkEnd w:id="94"/>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2022年度一般公共预算财政拨款支出年初预算为</w:t>
      </w:r>
      <w:r>
        <w:rPr>
          <w:rFonts w:hint="eastAsia" w:ascii="仿宋_GB2312" w:hAnsi="ˎ̥" w:eastAsia="仿宋_GB2312"/>
          <w:color w:val="auto"/>
          <w:sz w:val="32"/>
          <w:szCs w:val="32"/>
          <w:highlight w:val="none"/>
          <w:lang w:val="en-US" w:eastAsia="zh-CN"/>
        </w:rPr>
        <w:t>651.34</w:t>
      </w:r>
      <w:r>
        <w:rPr>
          <w:rFonts w:hint="eastAsia" w:ascii="仿宋_GB2312" w:hAnsi="ˎ̥" w:eastAsia="仿宋_GB2312"/>
          <w:color w:val="auto"/>
          <w:sz w:val="32"/>
          <w:szCs w:val="32"/>
          <w:highlight w:val="none"/>
        </w:rPr>
        <w:t>万元，支出决算为</w:t>
      </w:r>
      <w:r>
        <w:rPr>
          <w:rFonts w:hint="eastAsia" w:ascii="仿宋_GB2312" w:hAnsi="ˎ̥" w:eastAsia="仿宋_GB2312"/>
          <w:color w:val="auto"/>
          <w:sz w:val="32"/>
          <w:szCs w:val="32"/>
          <w:highlight w:val="none"/>
          <w:lang w:val="en-US" w:eastAsia="zh-CN"/>
        </w:rPr>
        <w:t>557.76</w:t>
      </w:r>
      <w:r>
        <w:rPr>
          <w:rFonts w:hint="eastAsia" w:ascii="仿宋_GB2312" w:hAnsi="ˎ̥" w:eastAsia="仿宋_GB2312"/>
          <w:color w:val="auto"/>
          <w:sz w:val="32"/>
          <w:szCs w:val="32"/>
          <w:highlight w:val="none"/>
        </w:rPr>
        <w:t>万元，完成年初预算的</w:t>
      </w:r>
      <w:r>
        <w:rPr>
          <w:rFonts w:hint="eastAsia" w:ascii="仿宋_GB2312" w:hAnsi="ˎ̥" w:eastAsia="仿宋_GB2312"/>
          <w:color w:val="auto"/>
          <w:sz w:val="32"/>
          <w:szCs w:val="32"/>
          <w:highlight w:val="none"/>
          <w:lang w:val="en-US" w:eastAsia="zh-CN"/>
        </w:rPr>
        <w:t>85.6</w:t>
      </w:r>
      <w:r>
        <w:rPr>
          <w:rFonts w:hint="eastAsia" w:ascii="仿宋_GB2312" w:hAnsi="ˎ̥" w:eastAsia="仿宋_GB2312"/>
          <w:color w:val="auto"/>
          <w:sz w:val="32"/>
          <w:szCs w:val="32"/>
          <w:highlight w:val="none"/>
        </w:rPr>
        <w:t>%。其中：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b/>
          <w:color w:val="auto"/>
          <w:sz w:val="32"/>
          <w:szCs w:val="32"/>
          <w:highlight w:val="none"/>
        </w:rPr>
      </w:pPr>
      <w:r>
        <w:rPr>
          <w:rFonts w:hint="eastAsia" w:ascii="仿宋_GB2312" w:hAnsi="ˎ̥" w:eastAsia="仿宋_GB2312"/>
          <w:color w:val="auto"/>
          <w:sz w:val="32"/>
          <w:szCs w:val="32"/>
          <w:highlight w:val="none"/>
        </w:rPr>
        <w:t>1.</w:t>
      </w:r>
      <w:r>
        <w:rPr>
          <w:rFonts w:hint="eastAsia" w:ascii="仿宋_GB2312" w:hAnsi="ˎ̥" w:eastAsia="仿宋_GB2312"/>
          <w:b/>
          <w:color w:val="auto"/>
          <w:sz w:val="32"/>
          <w:szCs w:val="32"/>
          <w:highlight w:val="none"/>
          <w:lang w:eastAsia="zh-CN"/>
        </w:rPr>
        <w:t>社会保障和就业支出</w:t>
      </w:r>
      <w:r>
        <w:rPr>
          <w:rFonts w:hint="eastAsia" w:ascii="仿宋_GB2312" w:hAnsi="ˎ̥" w:eastAsia="仿宋_GB2312"/>
          <w:b/>
          <w:color w:val="auto"/>
          <w:sz w:val="32"/>
          <w:szCs w:val="32"/>
          <w:highlight w:val="none"/>
        </w:rPr>
        <w:t>（类）</w:t>
      </w:r>
      <w:r>
        <w:rPr>
          <w:rFonts w:hint="eastAsia" w:ascii="仿宋_GB2312" w:hAnsi="ˎ̥" w:eastAsia="仿宋_GB2312"/>
          <w:b/>
          <w:color w:val="auto"/>
          <w:sz w:val="32"/>
          <w:szCs w:val="32"/>
          <w:highlight w:val="none"/>
          <w:lang w:eastAsia="zh-CN"/>
        </w:rPr>
        <w:t>行政事业单位养老支出</w:t>
      </w:r>
      <w:r>
        <w:rPr>
          <w:rFonts w:hint="eastAsia" w:ascii="仿宋_GB2312" w:hAnsi="ˎ̥" w:eastAsia="仿宋_GB2312"/>
          <w:b/>
          <w:color w:val="auto"/>
          <w:sz w:val="32"/>
          <w:szCs w:val="32"/>
          <w:highlight w:val="none"/>
        </w:rPr>
        <w:t>（款）</w:t>
      </w:r>
      <w:r>
        <w:rPr>
          <w:rFonts w:hint="eastAsia" w:ascii="仿宋_GB2312" w:hAnsi="ˎ̥" w:eastAsia="仿宋_GB2312"/>
          <w:b/>
          <w:color w:val="auto"/>
          <w:sz w:val="32"/>
          <w:szCs w:val="32"/>
          <w:highlight w:val="none"/>
          <w:lang w:eastAsia="zh-CN"/>
        </w:rPr>
        <w:t>机关事业单位基本养老保险缴纳支出</w:t>
      </w:r>
      <w:r>
        <w:rPr>
          <w:rFonts w:hint="eastAsia" w:ascii="仿宋_GB2312" w:hAnsi="ˎ̥" w:eastAsia="仿宋_GB2312"/>
          <w:b/>
          <w:color w:val="auto"/>
          <w:sz w:val="32"/>
          <w:szCs w:val="32"/>
          <w:highlight w:val="none"/>
        </w:rPr>
        <w:t>（项）。</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年初预算为</w:t>
      </w:r>
      <w:r>
        <w:rPr>
          <w:rFonts w:hint="eastAsia" w:ascii="仿宋_GB2312" w:hAnsi="ˎ̥" w:eastAsia="仿宋_GB2312"/>
          <w:color w:val="000000"/>
          <w:sz w:val="32"/>
          <w:szCs w:val="32"/>
          <w:highlight w:val="none"/>
          <w:lang w:val="en-US" w:eastAsia="zh-CN"/>
        </w:rPr>
        <w:t>44.45</w:t>
      </w:r>
      <w:r>
        <w:rPr>
          <w:rFonts w:hint="eastAsia" w:ascii="仿宋_GB2312" w:hAnsi="ˎ̥" w:eastAsia="仿宋_GB2312"/>
          <w:color w:val="000000"/>
          <w:sz w:val="32"/>
          <w:szCs w:val="32"/>
          <w:highlight w:val="none"/>
        </w:rPr>
        <w:t>万元，支出决算为</w:t>
      </w:r>
      <w:r>
        <w:rPr>
          <w:rFonts w:hint="eastAsia" w:ascii="仿宋_GB2312" w:hAnsi="ˎ̥" w:eastAsia="仿宋_GB2312"/>
          <w:color w:val="000000"/>
          <w:sz w:val="32"/>
          <w:szCs w:val="32"/>
          <w:highlight w:val="none"/>
          <w:lang w:val="en-US" w:eastAsia="zh-CN"/>
        </w:rPr>
        <w:t>37.10</w:t>
      </w:r>
      <w:r>
        <w:rPr>
          <w:rFonts w:hint="eastAsia" w:ascii="仿宋_GB2312" w:hAnsi="ˎ̥" w:eastAsia="仿宋_GB2312"/>
          <w:color w:val="000000"/>
          <w:sz w:val="32"/>
          <w:szCs w:val="32"/>
          <w:highlight w:val="none"/>
        </w:rPr>
        <w:t>万元，完成年初预算的</w:t>
      </w:r>
      <w:r>
        <w:rPr>
          <w:rFonts w:hint="eastAsia" w:ascii="仿宋_GB2312" w:hAnsi="ˎ̥" w:eastAsia="仿宋_GB2312"/>
          <w:color w:val="000000"/>
          <w:sz w:val="32"/>
          <w:szCs w:val="32"/>
          <w:highlight w:val="none"/>
          <w:lang w:val="en-US" w:eastAsia="zh-CN"/>
        </w:rPr>
        <w:t>83.5</w:t>
      </w:r>
      <w:r>
        <w:rPr>
          <w:rFonts w:hint="eastAsia" w:ascii="仿宋_GB2312" w:hAnsi="ˎ̥" w:eastAsia="仿宋_GB2312"/>
          <w:color w:val="000000"/>
          <w:sz w:val="32"/>
          <w:szCs w:val="32"/>
          <w:highlight w:val="none"/>
        </w:rPr>
        <w:t>%。决算数小于预算数的主要原因：一是</w:t>
      </w:r>
      <w:r>
        <w:rPr>
          <w:rFonts w:hint="eastAsia" w:ascii="仿宋_GB2312" w:hAnsi="ˎ̥" w:eastAsia="仿宋_GB2312"/>
          <w:color w:val="000000"/>
          <w:sz w:val="32"/>
          <w:szCs w:val="32"/>
          <w:highlight w:val="none"/>
          <w:lang w:eastAsia="zh-CN"/>
        </w:rPr>
        <w:t>年初预算多做，足额保障人员类经费</w:t>
      </w:r>
      <w:r>
        <w:rPr>
          <w:rFonts w:hint="eastAsia" w:ascii="仿宋_GB2312" w:hAnsi="ˎ̥" w:eastAsia="仿宋_GB2312"/>
          <w:color w:val="000000"/>
          <w:sz w:val="32"/>
          <w:szCs w:val="32"/>
          <w:highlight w:val="none"/>
        </w:rPr>
        <w:t>。</w:t>
      </w:r>
    </w:p>
    <w:p>
      <w:pPr>
        <w:keepNext w:val="0"/>
        <w:keepLines w:val="0"/>
        <w:pageBreakBefore w:val="0"/>
        <w:numPr>
          <w:ilvl w:val="0"/>
          <w:numId w:val="3"/>
        </w:numPr>
        <w:kinsoku/>
        <w:wordWrap/>
        <w:overflowPunct/>
        <w:topLinePunct w:val="0"/>
        <w:autoSpaceDE/>
        <w:autoSpaceDN/>
        <w:bidi w:val="0"/>
        <w:adjustRightInd/>
        <w:snapToGrid/>
        <w:spacing w:line="560" w:lineRule="exact"/>
        <w:ind w:firstLine="643" w:firstLineChars="200"/>
        <w:textAlignment w:val="auto"/>
        <w:rPr>
          <w:rFonts w:hint="eastAsia" w:ascii="仿宋_GB2312" w:hAnsi="ˎ̥" w:eastAsia="仿宋_GB2312"/>
          <w:b/>
          <w:color w:val="auto"/>
          <w:sz w:val="32"/>
          <w:szCs w:val="32"/>
          <w:highlight w:val="none"/>
        </w:rPr>
      </w:pPr>
      <w:r>
        <w:rPr>
          <w:rFonts w:hint="eastAsia" w:ascii="仿宋_GB2312" w:hAnsi="ˎ̥" w:eastAsia="仿宋_GB2312"/>
          <w:b/>
          <w:color w:val="auto"/>
          <w:sz w:val="32"/>
          <w:szCs w:val="32"/>
          <w:highlight w:val="none"/>
          <w:lang w:eastAsia="zh-CN"/>
        </w:rPr>
        <w:t>社会保障和就业支出</w:t>
      </w:r>
      <w:r>
        <w:rPr>
          <w:rFonts w:hint="eastAsia" w:ascii="仿宋_GB2312" w:hAnsi="ˎ̥" w:eastAsia="仿宋_GB2312"/>
          <w:b/>
          <w:color w:val="auto"/>
          <w:sz w:val="32"/>
          <w:szCs w:val="32"/>
          <w:highlight w:val="none"/>
        </w:rPr>
        <w:t>（类）</w:t>
      </w:r>
      <w:r>
        <w:rPr>
          <w:rFonts w:hint="eastAsia" w:ascii="仿宋_GB2312" w:hAnsi="ˎ̥" w:eastAsia="仿宋_GB2312"/>
          <w:b/>
          <w:color w:val="auto"/>
          <w:sz w:val="32"/>
          <w:szCs w:val="32"/>
          <w:highlight w:val="none"/>
          <w:lang w:eastAsia="zh-CN"/>
        </w:rPr>
        <w:t>行政事业单位养老支出</w:t>
      </w:r>
      <w:r>
        <w:rPr>
          <w:rFonts w:hint="eastAsia" w:ascii="仿宋_GB2312" w:hAnsi="ˎ̥" w:eastAsia="仿宋_GB2312"/>
          <w:b/>
          <w:color w:val="auto"/>
          <w:sz w:val="32"/>
          <w:szCs w:val="32"/>
          <w:highlight w:val="none"/>
        </w:rPr>
        <w:t>（款）</w:t>
      </w:r>
      <w:r>
        <w:rPr>
          <w:rFonts w:hint="eastAsia" w:ascii="仿宋_GB2312" w:hAnsi="ˎ̥" w:eastAsia="仿宋_GB2312"/>
          <w:b/>
          <w:color w:val="auto"/>
          <w:sz w:val="32"/>
          <w:szCs w:val="32"/>
          <w:highlight w:val="none"/>
          <w:lang w:eastAsia="zh-CN"/>
        </w:rPr>
        <w:t>机关事业单位职业年金缴纳支出</w:t>
      </w:r>
      <w:r>
        <w:rPr>
          <w:rFonts w:hint="eastAsia" w:ascii="仿宋_GB2312" w:hAnsi="ˎ̥" w:eastAsia="仿宋_GB2312"/>
          <w:b/>
          <w:color w:val="auto"/>
          <w:sz w:val="32"/>
          <w:szCs w:val="32"/>
          <w:highlight w:val="none"/>
        </w:rPr>
        <w:t>（项）</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_GB2312" w:hAnsi="ˎ̥" w:eastAsia="仿宋_GB2312"/>
          <w:b/>
          <w:color w:val="auto"/>
          <w:sz w:val="32"/>
          <w:szCs w:val="32"/>
          <w:highlight w:val="none"/>
        </w:rPr>
      </w:pPr>
      <w:r>
        <w:rPr>
          <w:rFonts w:hint="eastAsia" w:ascii="仿宋_GB2312" w:hAnsi="ˎ̥" w:eastAsia="仿宋_GB2312"/>
          <w:color w:val="000000"/>
          <w:sz w:val="32"/>
          <w:szCs w:val="32"/>
          <w:highlight w:val="none"/>
        </w:rPr>
        <w:t>年初预算为</w:t>
      </w:r>
      <w:r>
        <w:rPr>
          <w:rFonts w:hint="eastAsia" w:ascii="仿宋_GB2312" w:hAnsi="ˎ̥" w:eastAsia="仿宋_GB2312"/>
          <w:color w:val="000000"/>
          <w:sz w:val="32"/>
          <w:szCs w:val="32"/>
          <w:highlight w:val="none"/>
          <w:lang w:val="en-US" w:eastAsia="zh-CN"/>
        </w:rPr>
        <w:t>10</w:t>
      </w:r>
      <w:r>
        <w:rPr>
          <w:rFonts w:hint="eastAsia" w:ascii="仿宋_GB2312" w:hAnsi="ˎ̥" w:eastAsia="仿宋_GB2312"/>
          <w:color w:val="000000"/>
          <w:sz w:val="32"/>
          <w:szCs w:val="32"/>
          <w:highlight w:val="none"/>
        </w:rPr>
        <w:t>万元，支出决算为</w:t>
      </w:r>
      <w:r>
        <w:rPr>
          <w:rFonts w:hint="eastAsia" w:ascii="仿宋_GB2312" w:hAnsi="ˎ̥" w:eastAsia="仿宋_GB2312"/>
          <w:color w:val="000000"/>
          <w:sz w:val="32"/>
          <w:szCs w:val="32"/>
          <w:highlight w:val="none"/>
          <w:lang w:val="en-US" w:eastAsia="zh-CN"/>
        </w:rPr>
        <w:t>57.9</w:t>
      </w:r>
      <w:r>
        <w:rPr>
          <w:rFonts w:hint="eastAsia" w:ascii="仿宋_GB2312" w:hAnsi="ˎ̥" w:eastAsia="仿宋_GB2312"/>
          <w:color w:val="000000"/>
          <w:sz w:val="32"/>
          <w:szCs w:val="32"/>
          <w:highlight w:val="none"/>
        </w:rPr>
        <w:t>万元，完成年初预算的</w:t>
      </w:r>
      <w:r>
        <w:rPr>
          <w:rFonts w:hint="eastAsia" w:ascii="仿宋_GB2312" w:hAnsi="ˎ̥" w:eastAsia="仿宋_GB2312"/>
          <w:color w:val="000000"/>
          <w:sz w:val="32"/>
          <w:szCs w:val="32"/>
          <w:highlight w:val="none"/>
          <w:lang w:val="en-US" w:eastAsia="zh-CN"/>
        </w:rPr>
        <w:t>100</w:t>
      </w:r>
      <w:r>
        <w:rPr>
          <w:rFonts w:hint="eastAsia" w:ascii="仿宋_GB2312" w:hAnsi="ˎ̥" w:eastAsia="仿宋_GB2312"/>
          <w:color w:val="000000"/>
          <w:sz w:val="32"/>
          <w:szCs w:val="32"/>
          <w:highlight w:val="none"/>
        </w:rPr>
        <w:t>%。决算数</w:t>
      </w:r>
      <w:r>
        <w:rPr>
          <w:rFonts w:hint="eastAsia" w:ascii="仿宋_GB2312" w:hAnsi="ˎ̥" w:eastAsia="仿宋_GB2312"/>
          <w:color w:val="000000"/>
          <w:sz w:val="32"/>
          <w:szCs w:val="32"/>
          <w:highlight w:val="none"/>
          <w:lang w:eastAsia="zh-CN"/>
        </w:rPr>
        <w:t>大</w:t>
      </w:r>
      <w:r>
        <w:rPr>
          <w:rFonts w:hint="eastAsia" w:ascii="仿宋_GB2312" w:hAnsi="ˎ̥" w:eastAsia="仿宋_GB2312"/>
          <w:color w:val="000000"/>
          <w:sz w:val="32"/>
          <w:szCs w:val="32"/>
          <w:highlight w:val="none"/>
        </w:rPr>
        <w:t>于预算数的主要原因：一是</w:t>
      </w:r>
      <w:r>
        <w:rPr>
          <w:rFonts w:hint="eastAsia" w:ascii="仿宋_GB2312" w:hAnsi="ˎ̥" w:eastAsia="仿宋_GB2312"/>
          <w:color w:val="000000"/>
          <w:sz w:val="32"/>
          <w:szCs w:val="32"/>
          <w:highlight w:val="none"/>
          <w:lang w:eastAsia="zh-CN"/>
        </w:rPr>
        <w:t>年初预算少做，二是为保障人员社保问题，做支出调剂申请</w:t>
      </w:r>
      <w:r>
        <w:rPr>
          <w:rFonts w:hint="eastAsia" w:ascii="仿宋_GB2312" w:hAnsi="ˎ̥" w:eastAsia="仿宋_GB2312"/>
          <w:color w:val="000000"/>
          <w:sz w:val="32"/>
          <w:szCs w:val="32"/>
          <w:highlight w:val="none"/>
        </w:rPr>
        <w:t>。</w:t>
      </w:r>
    </w:p>
    <w:p>
      <w:pPr>
        <w:keepNext w:val="0"/>
        <w:keepLines w:val="0"/>
        <w:pageBreakBefore w:val="0"/>
        <w:numPr>
          <w:ilvl w:val="0"/>
          <w:numId w:val="3"/>
        </w:numPr>
        <w:kinsoku/>
        <w:wordWrap/>
        <w:overflowPunct/>
        <w:topLinePunct w:val="0"/>
        <w:autoSpaceDE/>
        <w:autoSpaceDN/>
        <w:bidi w:val="0"/>
        <w:adjustRightInd/>
        <w:snapToGrid/>
        <w:spacing w:line="560" w:lineRule="exact"/>
        <w:ind w:firstLine="643" w:firstLineChars="200"/>
        <w:textAlignment w:val="auto"/>
        <w:rPr>
          <w:rFonts w:hint="eastAsia" w:ascii="仿宋_GB2312" w:hAnsi="ˎ̥" w:eastAsia="仿宋_GB2312"/>
          <w:color w:val="000000"/>
          <w:sz w:val="32"/>
          <w:szCs w:val="32"/>
          <w:highlight w:val="none"/>
        </w:rPr>
      </w:pPr>
      <w:r>
        <w:rPr>
          <w:rFonts w:hint="eastAsia" w:ascii="仿宋_GB2312" w:hAnsi="ˎ̥" w:eastAsia="仿宋_GB2312"/>
          <w:b/>
          <w:color w:val="auto"/>
          <w:sz w:val="32"/>
          <w:szCs w:val="32"/>
          <w:highlight w:val="none"/>
          <w:lang w:eastAsia="zh-CN"/>
        </w:rPr>
        <w:t>卫生健康支出</w:t>
      </w:r>
      <w:r>
        <w:rPr>
          <w:rFonts w:hint="eastAsia" w:ascii="仿宋_GB2312" w:hAnsi="ˎ̥" w:eastAsia="仿宋_GB2312"/>
          <w:b/>
          <w:color w:val="auto"/>
          <w:sz w:val="32"/>
          <w:szCs w:val="32"/>
          <w:highlight w:val="none"/>
        </w:rPr>
        <w:t>（类）</w:t>
      </w:r>
      <w:r>
        <w:rPr>
          <w:rFonts w:hint="eastAsia" w:ascii="仿宋_GB2312" w:hAnsi="ˎ̥" w:eastAsia="仿宋_GB2312"/>
          <w:b/>
          <w:color w:val="auto"/>
          <w:sz w:val="32"/>
          <w:szCs w:val="32"/>
          <w:highlight w:val="none"/>
          <w:lang w:eastAsia="zh-CN"/>
        </w:rPr>
        <w:t>卫生健康管理事务</w:t>
      </w:r>
      <w:r>
        <w:rPr>
          <w:rFonts w:hint="eastAsia" w:ascii="仿宋_GB2312" w:hAnsi="ˎ̥" w:eastAsia="仿宋_GB2312"/>
          <w:b/>
          <w:color w:val="auto"/>
          <w:sz w:val="32"/>
          <w:szCs w:val="32"/>
          <w:highlight w:val="none"/>
        </w:rPr>
        <w:t>（款）</w:t>
      </w:r>
      <w:r>
        <w:rPr>
          <w:rFonts w:hint="eastAsia" w:ascii="仿宋_GB2312" w:hAnsi="ˎ̥" w:eastAsia="仿宋_GB2312"/>
          <w:b/>
          <w:color w:val="auto"/>
          <w:sz w:val="32"/>
          <w:szCs w:val="32"/>
          <w:highlight w:val="none"/>
          <w:lang w:eastAsia="zh-CN"/>
        </w:rPr>
        <w:t>其他卫生健康管理事务支出</w:t>
      </w:r>
      <w:r>
        <w:rPr>
          <w:rFonts w:hint="eastAsia" w:ascii="仿宋_GB2312" w:hAnsi="ˎ̥" w:eastAsia="仿宋_GB2312"/>
          <w:b/>
          <w:color w:val="auto"/>
          <w:sz w:val="32"/>
          <w:szCs w:val="32"/>
          <w:highlight w:val="none"/>
        </w:rPr>
        <w:t>（项）</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年初预算为</w:t>
      </w:r>
      <w:r>
        <w:rPr>
          <w:rFonts w:hint="eastAsia" w:ascii="仿宋_GB2312" w:hAnsi="ˎ̥" w:eastAsia="仿宋_GB2312"/>
          <w:color w:val="000000"/>
          <w:sz w:val="32"/>
          <w:szCs w:val="32"/>
          <w:highlight w:val="none"/>
          <w:lang w:val="en-US" w:eastAsia="zh-CN"/>
        </w:rPr>
        <w:t>50</w:t>
      </w:r>
      <w:r>
        <w:rPr>
          <w:rFonts w:hint="eastAsia" w:ascii="仿宋_GB2312" w:hAnsi="ˎ̥" w:eastAsia="仿宋_GB2312"/>
          <w:color w:val="000000"/>
          <w:sz w:val="32"/>
          <w:szCs w:val="32"/>
          <w:highlight w:val="none"/>
        </w:rPr>
        <w:t>万元，支出决算为</w:t>
      </w:r>
      <w:r>
        <w:rPr>
          <w:rFonts w:hint="eastAsia" w:ascii="仿宋_GB2312" w:hAnsi="ˎ̥" w:eastAsia="仿宋_GB2312"/>
          <w:color w:val="000000"/>
          <w:sz w:val="32"/>
          <w:szCs w:val="32"/>
          <w:highlight w:val="none"/>
          <w:lang w:val="en-US" w:eastAsia="zh-CN"/>
        </w:rPr>
        <w:t>32.5</w:t>
      </w:r>
      <w:r>
        <w:rPr>
          <w:rFonts w:hint="eastAsia" w:ascii="仿宋_GB2312" w:hAnsi="ˎ̥" w:eastAsia="仿宋_GB2312"/>
          <w:color w:val="000000"/>
          <w:sz w:val="32"/>
          <w:szCs w:val="32"/>
          <w:highlight w:val="none"/>
        </w:rPr>
        <w:t>万元，完成年初预算的</w:t>
      </w:r>
      <w:r>
        <w:rPr>
          <w:rFonts w:hint="eastAsia" w:ascii="仿宋_GB2312" w:hAnsi="ˎ̥" w:eastAsia="仿宋_GB2312"/>
          <w:color w:val="000000"/>
          <w:sz w:val="32"/>
          <w:szCs w:val="32"/>
          <w:highlight w:val="none"/>
          <w:lang w:val="en-US" w:eastAsia="zh-CN"/>
        </w:rPr>
        <w:t>65</w:t>
      </w:r>
      <w:r>
        <w:rPr>
          <w:rFonts w:hint="eastAsia" w:ascii="仿宋_GB2312" w:hAnsi="ˎ̥" w:eastAsia="仿宋_GB2312"/>
          <w:color w:val="000000"/>
          <w:sz w:val="32"/>
          <w:szCs w:val="32"/>
          <w:highlight w:val="none"/>
        </w:rPr>
        <w:t>%。决算数</w:t>
      </w:r>
      <w:r>
        <w:rPr>
          <w:rFonts w:hint="eastAsia" w:ascii="仿宋_GB2312" w:hAnsi="ˎ̥" w:eastAsia="仿宋_GB2312"/>
          <w:color w:val="000000"/>
          <w:sz w:val="32"/>
          <w:szCs w:val="32"/>
          <w:highlight w:val="none"/>
          <w:lang w:eastAsia="zh-CN"/>
        </w:rPr>
        <w:t>大小</w:t>
      </w:r>
      <w:r>
        <w:rPr>
          <w:rFonts w:hint="eastAsia" w:ascii="仿宋_GB2312" w:hAnsi="ˎ̥" w:eastAsia="仿宋_GB2312"/>
          <w:color w:val="000000"/>
          <w:sz w:val="32"/>
          <w:szCs w:val="32"/>
          <w:highlight w:val="none"/>
        </w:rPr>
        <w:t>于预算数的主要原因：一是</w:t>
      </w:r>
      <w:r>
        <w:rPr>
          <w:rFonts w:hint="eastAsia" w:ascii="仿宋_GB2312" w:hAnsi="ˎ̥" w:eastAsia="仿宋_GB2312"/>
          <w:color w:val="000000"/>
          <w:sz w:val="32"/>
          <w:szCs w:val="32"/>
          <w:highlight w:val="none"/>
          <w:lang w:eastAsia="zh-CN"/>
        </w:rPr>
        <w:t>减少项目支出，落实政府过紧日子的要求；二是疫情影响。</w:t>
      </w:r>
    </w:p>
    <w:p>
      <w:pPr>
        <w:keepNext w:val="0"/>
        <w:keepLines w:val="0"/>
        <w:pageBreakBefore w:val="0"/>
        <w:numPr>
          <w:ilvl w:val="0"/>
          <w:numId w:val="3"/>
        </w:numPr>
        <w:kinsoku/>
        <w:wordWrap/>
        <w:overflowPunct/>
        <w:topLinePunct w:val="0"/>
        <w:autoSpaceDE/>
        <w:autoSpaceDN/>
        <w:bidi w:val="0"/>
        <w:adjustRightInd/>
        <w:snapToGrid/>
        <w:spacing w:line="560" w:lineRule="exact"/>
        <w:ind w:firstLine="643" w:firstLineChars="200"/>
        <w:textAlignment w:val="auto"/>
        <w:rPr>
          <w:rFonts w:hint="eastAsia" w:ascii="仿宋_GB2312" w:hAnsi="ˎ̥" w:eastAsia="仿宋_GB2312"/>
          <w:color w:val="000000"/>
          <w:sz w:val="32"/>
          <w:szCs w:val="32"/>
          <w:highlight w:val="none"/>
        </w:rPr>
      </w:pPr>
      <w:r>
        <w:rPr>
          <w:rFonts w:hint="eastAsia" w:ascii="仿宋_GB2312" w:hAnsi="ˎ̥" w:eastAsia="仿宋_GB2312"/>
          <w:b/>
          <w:color w:val="auto"/>
          <w:sz w:val="32"/>
          <w:szCs w:val="32"/>
          <w:highlight w:val="none"/>
          <w:lang w:eastAsia="zh-CN"/>
        </w:rPr>
        <w:t>卫生健康支出</w:t>
      </w:r>
      <w:r>
        <w:rPr>
          <w:rFonts w:hint="eastAsia" w:ascii="仿宋_GB2312" w:hAnsi="ˎ̥" w:eastAsia="仿宋_GB2312"/>
          <w:b/>
          <w:color w:val="auto"/>
          <w:sz w:val="32"/>
          <w:szCs w:val="32"/>
          <w:highlight w:val="none"/>
        </w:rPr>
        <w:t>（类）</w:t>
      </w:r>
      <w:r>
        <w:rPr>
          <w:rFonts w:hint="eastAsia" w:ascii="仿宋_GB2312" w:hAnsi="ˎ̥" w:eastAsia="仿宋_GB2312"/>
          <w:b/>
          <w:color w:val="auto"/>
          <w:sz w:val="32"/>
          <w:szCs w:val="32"/>
          <w:highlight w:val="none"/>
          <w:lang w:eastAsia="zh-CN"/>
        </w:rPr>
        <w:t>公共卫生</w:t>
      </w:r>
      <w:r>
        <w:rPr>
          <w:rFonts w:hint="eastAsia" w:ascii="仿宋_GB2312" w:hAnsi="ˎ̥" w:eastAsia="仿宋_GB2312"/>
          <w:b/>
          <w:color w:val="auto"/>
          <w:sz w:val="32"/>
          <w:szCs w:val="32"/>
          <w:highlight w:val="none"/>
        </w:rPr>
        <w:t>（款）</w:t>
      </w:r>
      <w:r>
        <w:rPr>
          <w:rFonts w:hint="eastAsia" w:ascii="仿宋_GB2312" w:hAnsi="ˎ̥" w:eastAsia="仿宋_GB2312"/>
          <w:b/>
          <w:color w:val="auto"/>
          <w:sz w:val="32"/>
          <w:szCs w:val="32"/>
          <w:highlight w:val="none"/>
          <w:lang w:eastAsia="zh-CN"/>
        </w:rPr>
        <w:t>基本公共卫生服务</w:t>
      </w:r>
      <w:r>
        <w:rPr>
          <w:rFonts w:hint="eastAsia" w:ascii="仿宋_GB2312" w:hAnsi="ˎ̥" w:eastAsia="仿宋_GB2312"/>
          <w:b/>
          <w:color w:val="auto"/>
          <w:sz w:val="32"/>
          <w:szCs w:val="32"/>
          <w:highlight w:val="none"/>
        </w:rPr>
        <w:t>（项）</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年初预算为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万元，支出决算为</w:t>
      </w:r>
      <w:r>
        <w:rPr>
          <w:rFonts w:hint="eastAsia" w:ascii="仿宋_GB2312" w:hAnsi="ˎ̥" w:eastAsia="仿宋_GB2312"/>
          <w:color w:val="000000"/>
          <w:sz w:val="32"/>
          <w:szCs w:val="32"/>
          <w:highlight w:val="none"/>
          <w:lang w:val="en-US" w:eastAsia="zh-CN"/>
        </w:rPr>
        <w:t>26.49</w:t>
      </w:r>
      <w:r>
        <w:rPr>
          <w:rFonts w:hint="eastAsia" w:ascii="仿宋_GB2312" w:hAnsi="ˎ̥" w:eastAsia="仿宋_GB2312"/>
          <w:color w:val="000000"/>
          <w:sz w:val="32"/>
          <w:szCs w:val="32"/>
          <w:highlight w:val="none"/>
        </w:rPr>
        <w:t>万元，完成年初预算的</w:t>
      </w:r>
      <w:r>
        <w:rPr>
          <w:rFonts w:hint="eastAsia" w:ascii="仿宋_GB2312" w:hAnsi="ˎ̥" w:eastAsia="仿宋_GB2312"/>
          <w:color w:val="000000"/>
          <w:sz w:val="32"/>
          <w:szCs w:val="32"/>
          <w:highlight w:val="none"/>
          <w:lang w:val="en-US" w:eastAsia="zh-CN"/>
        </w:rPr>
        <w:t>100</w:t>
      </w:r>
      <w:r>
        <w:rPr>
          <w:rFonts w:hint="eastAsia" w:ascii="仿宋_GB2312" w:hAnsi="ˎ̥" w:eastAsia="仿宋_GB2312"/>
          <w:color w:val="000000"/>
          <w:sz w:val="32"/>
          <w:szCs w:val="32"/>
          <w:highlight w:val="none"/>
        </w:rPr>
        <w:t>%。决算数</w:t>
      </w:r>
      <w:r>
        <w:rPr>
          <w:rFonts w:hint="eastAsia" w:ascii="仿宋_GB2312" w:hAnsi="ˎ̥" w:eastAsia="仿宋_GB2312"/>
          <w:color w:val="000000"/>
          <w:sz w:val="32"/>
          <w:szCs w:val="32"/>
          <w:highlight w:val="none"/>
          <w:lang w:eastAsia="zh-CN"/>
        </w:rPr>
        <w:t>大</w:t>
      </w:r>
      <w:r>
        <w:rPr>
          <w:rFonts w:hint="eastAsia" w:ascii="仿宋_GB2312" w:hAnsi="ˎ̥" w:eastAsia="仿宋_GB2312"/>
          <w:color w:val="000000"/>
          <w:sz w:val="32"/>
          <w:szCs w:val="32"/>
          <w:highlight w:val="none"/>
        </w:rPr>
        <w:t>于预算数的主要原因：是</w:t>
      </w:r>
      <w:r>
        <w:rPr>
          <w:rFonts w:hint="eastAsia" w:ascii="仿宋_GB2312" w:hAnsi="ˎ̥" w:eastAsia="仿宋_GB2312"/>
          <w:color w:val="000000"/>
          <w:sz w:val="32"/>
          <w:szCs w:val="32"/>
          <w:highlight w:val="none"/>
          <w:lang w:eastAsia="zh-CN"/>
        </w:rPr>
        <w:t>中央直达资金，年初未做预算。</w:t>
      </w:r>
    </w:p>
    <w:p>
      <w:pPr>
        <w:keepNext w:val="0"/>
        <w:keepLines w:val="0"/>
        <w:pageBreakBefore w:val="0"/>
        <w:numPr>
          <w:ilvl w:val="0"/>
          <w:numId w:val="3"/>
        </w:numPr>
        <w:kinsoku/>
        <w:wordWrap/>
        <w:overflowPunct/>
        <w:topLinePunct w:val="0"/>
        <w:autoSpaceDE/>
        <w:autoSpaceDN/>
        <w:bidi w:val="0"/>
        <w:adjustRightInd/>
        <w:snapToGrid/>
        <w:spacing w:line="560" w:lineRule="exact"/>
        <w:ind w:firstLine="643" w:firstLineChars="200"/>
        <w:textAlignment w:val="auto"/>
        <w:rPr>
          <w:rFonts w:hint="eastAsia" w:ascii="仿宋_GB2312" w:hAnsi="ˎ̥" w:eastAsia="仿宋_GB2312"/>
          <w:color w:val="000000"/>
          <w:sz w:val="32"/>
          <w:szCs w:val="32"/>
          <w:highlight w:val="none"/>
        </w:rPr>
      </w:pPr>
      <w:r>
        <w:rPr>
          <w:rFonts w:hint="eastAsia" w:ascii="仿宋_GB2312" w:hAnsi="ˎ̥" w:eastAsia="仿宋_GB2312"/>
          <w:b/>
          <w:color w:val="auto"/>
          <w:sz w:val="32"/>
          <w:szCs w:val="32"/>
          <w:highlight w:val="none"/>
          <w:lang w:eastAsia="zh-CN"/>
        </w:rPr>
        <w:t>卫生健康支出</w:t>
      </w:r>
      <w:r>
        <w:rPr>
          <w:rFonts w:hint="eastAsia" w:ascii="仿宋_GB2312" w:hAnsi="ˎ̥" w:eastAsia="仿宋_GB2312"/>
          <w:b/>
          <w:color w:val="auto"/>
          <w:sz w:val="32"/>
          <w:szCs w:val="32"/>
          <w:highlight w:val="none"/>
        </w:rPr>
        <w:t>（类）</w:t>
      </w:r>
      <w:r>
        <w:rPr>
          <w:rFonts w:hint="eastAsia" w:ascii="仿宋_GB2312" w:hAnsi="ˎ̥" w:eastAsia="仿宋_GB2312"/>
          <w:b/>
          <w:color w:val="auto"/>
          <w:sz w:val="32"/>
          <w:szCs w:val="32"/>
          <w:highlight w:val="none"/>
          <w:lang w:eastAsia="zh-CN"/>
        </w:rPr>
        <w:t>计划生育事务</w:t>
      </w:r>
      <w:r>
        <w:rPr>
          <w:rFonts w:hint="eastAsia" w:ascii="仿宋_GB2312" w:hAnsi="ˎ̥" w:eastAsia="仿宋_GB2312"/>
          <w:b/>
          <w:color w:val="auto"/>
          <w:sz w:val="32"/>
          <w:szCs w:val="32"/>
          <w:highlight w:val="none"/>
        </w:rPr>
        <w:t>（款）</w:t>
      </w:r>
      <w:r>
        <w:rPr>
          <w:rFonts w:hint="eastAsia" w:ascii="仿宋_GB2312" w:hAnsi="ˎ̥" w:eastAsia="仿宋_GB2312"/>
          <w:b/>
          <w:color w:val="auto"/>
          <w:sz w:val="32"/>
          <w:szCs w:val="32"/>
          <w:highlight w:val="none"/>
          <w:lang w:eastAsia="zh-CN"/>
        </w:rPr>
        <w:t>计划生育服务</w:t>
      </w:r>
      <w:r>
        <w:rPr>
          <w:rFonts w:hint="eastAsia" w:ascii="仿宋_GB2312" w:hAnsi="ˎ̥" w:eastAsia="仿宋_GB2312"/>
          <w:b/>
          <w:color w:val="auto"/>
          <w:sz w:val="32"/>
          <w:szCs w:val="32"/>
          <w:highlight w:val="none"/>
        </w:rPr>
        <w:t>（项）</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年初预算为</w:t>
      </w:r>
      <w:r>
        <w:rPr>
          <w:rFonts w:hint="eastAsia" w:ascii="仿宋_GB2312" w:hAnsi="ˎ̥" w:eastAsia="仿宋_GB2312"/>
          <w:color w:val="000000"/>
          <w:sz w:val="32"/>
          <w:szCs w:val="32"/>
          <w:highlight w:val="none"/>
          <w:lang w:val="en-US" w:eastAsia="zh-CN"/>
        </w:rPr>
        <w:t>445.29</w:t>
      </w:r>
      <w:r>
        <w:rPr>
          <w:rFonts w:hint="eastAsia" w:ascii="仿宋_GB2312" w:hAnsi="ˎ̥" w:eastAsia="仿宋_GB2312"/>
          <w:color w:val="000000"/>
          <w:sz w:val="32"/>
          <w:szCs w:val="32"/>
          <w:highlight w:val="none"/>
        </w:rPr>
        <w:t>万元，支出决算为</w:t>
      </w:r>
      <w:r>
        <w:rPr>
          <w:rFonts w:hint="eastAsia" w:ascii="仿宋_GB2312" w:hAnsi="ˎ̥" w:eastAsia="仿宋_GB2312"/>
          <w:color w:val="000000"/>
          <w:sz w:val="32"/>
          <w:szCs w:val="32"/>
          <w:highlight w:val="none"/>
          <w:lang w:val="en-US" w:eastAsia="zh-CN"/>
        </w:rPr>
        <w:t>317.22</w:t>
      </w:r>
      <w:r>
        <w:rPr>
          <w:rFonts w:hint="eastAsia" w:ascii="仿宋_GB2312" w:hAnsi="ˎ̥" w:eastAsia="仿宋_GB2312"/>
          <w:color w:val="000000"/>
          <w:sz w:val="32"/>
          <w:szCs w:val="32"/>
          <w:highlight w:val="none"/>
        </w:rPr>
        <w:t>万元，完成年初预算的</w:t>
      </w:r>
      <w:r>
        <w:rPr>
          <w:rFonts w:hint="eastAsia" w:ascii="仿宋_GB2312" w:hAnsi="ˎ̥" w:eastAsia="仿宋_GB2312"/>
          <w:color w:val="000000"/>
          <w:sz w:val="32"/>
          <w:szCs w:val="32"/>
          <w:highlight w:val="none"/>
          <w:lang w:val="en-US" w:eastAsia="zh-CN"/>
        </w:rPr>
        <w:t>71.2</w:t>
      </w:r>
      <w:r>
        <w:rPr>
          <w:rFonts w:hint="eastAsia" w:ascii="仿宋_GB2312" w:hAnsi="ˎ̥" w:eastAsia="仿宋_GB2312"/>
          <w:color w:val="000000"/>
          <w:sz w:val="32"/>
          <w:szCs w:val="32"/>
          <w:highlight w:val="none"/>
        </w:rPr>
        <w:t>%。决算数</w:t>
      </w:r>
      <w:r>
        <w:rPr>
          <w:rFonts w:hint="eastAsia" w:ascii="仿宋_GB2312" w:hAnsi="ˎ̥" w:eastAsia="仿宋_GB2312"/>
          <w:color w:val="000000"/>
          <w:sz w:val="32"/>
          <w:szCs w:val="32"/>
          <w:highlight w:val="none"/>
          <w:lang w:eastAsia="zh-CN"/>
        </w:rPr>
        <w:t>小</w:t>
      </w:r>
      <w:r>
        <w:rPr>
          <w:rFonts w:hint="eastAsia" w:ascii="仿宋_GB2312" w:hAnsi="ˎ̥" w:eastAsia="仿宋_GB2312"/>
          <w:color w:val="000000"/>
          <w:sz w:val="32"/>
          <w:szCs w:val="32"/>
          <w:highlight w:val="none"/>
        </w:rPr>
        <w:t>于预算数的主要原因：是</w:t>
      </w:r>
      <w:r>
        <w:rPr>
          <w:rFonts w:hint="eastAsia" w:ascii="仿宋_GB2312" w:hAnsi="ˎ̥" w:eastAsia="仿宋_GB2312"/>
          <w:color w:val="000000"/>
          <w:sz w:val="32"/>
          <w:szCs w:val="32"/>
          <w:highlight w:val="none"/>
          <w:lang w:eastAsia="zh-CN"/>
        </w:rPr>
        <w:t>年初预算多做，足额保障人员类经费</w:t>
      </w:r>
      <w:r>
        <w:rPr>
          <w:rFonts w:hint="eastAsia" w:ascii="仿宋_GB2312" w:hAnsi="ˎ̥" w:eastAsia="仿宋_GB2312"/>
          <w:color w:val="000000"/>
          <w:sz w:val="32"/>
          <w:szCs w:val="32"/>
          <w:highlight w:val="none"/>
        </w:rPr>
        <w:t>。</w:t>
      </w:r>
    </w:p>
    <w:p>
      <w:pPr>
        <w:keepNext w:val="0"/>
        <w:keepLines w:val="0"/>
        <w:pageBreakBefore w:val="0"/>
        <w:numPr>
          <w:ilvl w:val="0"/>
          <w:numId w:val="3"/>
        </w:numPr>
        <w:kinsoku/>
        <w:wordWrap/>
        <w:overflowPunct/>
        <w:topLinePunct w:val="0"/>
        <w:autoSpaceDE/>
        <w:autoSpaceDN/>
        <w:bidi w:val="0"/>
        <w:adjustRightInd/>
        <w:snapToGrid/>
        <w:spacing w:line="560" w:lineRule="exact"/>
        <w:ind w:firstLine="643" w:firstLineChars="200"/>
        <w:textAlignment w:val="auto"/>
        <w:rPr>
          <w:rFonts w:hint="eastAsia" w:ascii="仿宋_GB2312" w:hAnsi="ˎ̥" w:eastAsia="仿宋_GB2312"/>
          <w:color w:val="000000"/>
          <w:sz w:val="32"/>
          <w:szCs w:val="32"/>
          <w:highlight w:val="none"/>
        </w:rPr>
      </w:pPr>
      <w:r>
        <w:rPr>
          <w:rFonts w:hint="eastAsia" w:ascii="仿宋_GB2312" w:hAnsi="ˎ̥" w:eastAsia="仿宋_GB2312"/>
          <w:b/>
          <w:color w:val="auto"/>
          <w:sz w:val="32"/>
          <w:szCs w:val="32"/>
          <w:highlight w:val="none"/>
          <w:lang w:eastAsia="zh-CN"/>
        </w:rPr>
        <w:t>卫生健康支出</w:t>
      </w:r>
      <w:r>
        <w:rPr>
          <w:rFonts w:hint="eastAsia" w:ascii="仿宋_GB2312" w:hAnsi="ˎ̥" w:eastAsia="仿宋_GB2312"/>
          <w:b/>
          <w:color w:val="auto"/>
          <w:sz w:val="32"/>
          <w:szCs w:val="32"/>
          <w:highlight w:val="none"/>
        </w:rPr>
        <w:t>（类）</w:t>
      </w:r>
      <w:r>
        <w:rPr>
          <w:rFonts w:hint="eastAsia" w:ascii="仿宋_GB2312" w:hAnsi="ˎ̥" w:eastAsia="仿宋_GB2312"/>
          <w:b/>
          <w:color w:val="auto"/>
          <w:sz w:val="32"/>
          <w:szCs w:val="32"/>
          <w:highlight w:val="none"/>
          <w:lang w:eastAsia="zh-CN"/>
        </w:rPr>
        <w:t>行政事业单位医疗</w:t>
      </w:r>
      <w:r>
        <w:rPr>
          <w:rFonts w:hint="eastAsia" w:ascii="仿宋_GB2312" w:hAnsi="ˎ̥" w:eastAsia="仿宋_GB2312"/>
          <w:b/>
          <w:color w:val="auto"/>
          <w:sz w:val="32"/>
          <w:szCs w:val="32"/>
          <w:highlight w:val="none"/>
        </w:rPr>
        <w:t>（款）</w:t>
      </w:r>
      <w:r>
        <w:rPr>
          <w:rFonts w:hint="eastAsia" w:ascii="仿宋_GB2312" w:hAnsi="ˎ̥" w:eastAsia="仿宋_GB2312"/>
          <w:b/>
          <w:color w:val="auto"/>
          <w:sz w:val="32"/>
          <w:szCs w:val="32"/>
          <w:highlight w:val="none"/>
          <w:lang w:eastAsia="zh-CN"/>
        </w:rPr>
        <w:t>事业单位医疗</w:t>
      </w:r>
      <w:r>
        <w:rPr>
          <w:rFonts w:hint="eastAsia" w:ascii="仿宋_GB2312" w:hAnsi="ˎ̥" w:eastAsia="仿宋_GB2312"/>
          <w:b/>
          <w:color w:val="auto"/>
          <w:sz w:val="32"/>
          <w:szCs w:val="32"/>
          <w:highlight w:val="none"/>
        </w:rPr>
        <w:t>（项）</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年初预算为</w:t>
      </w:r>
      <w:r>
        <w:rPr>
          <w:rFonts w:hint="eastAsia" w:ascii="仿宋_GB2312" w:hAnsi="ˎ̥" w:eastAsia="仿宋_GB2312"/>
          <w:color w:val="000000"/>
          <w:sz w:val="32"/>
          <w:szCs w:val="32"/>
          <w:highlight w:val="none"/>
          <w:lang w:val="en-US" w:eastAsia="zh-CN"/>
        </w:rPr>
        <w:t>23.62</w:t>
      </w:r>
      <w:r>
        <w:rPr>
          <w:rFonts w:hint="eastAsia" w:ascii="仿宋_GB2312" w:hAnsi="ˎ̥" w:eastAsia="仿宋_GB2312"/>
          <w:color w:val="000000"/>
          <w:sz w:val="32"/>
          <w:szCs w:val="32"/>
          <w:highlight w:val="none"/>
        </w:rPr>
        <w:t>万元，支出决算为</w:t>
      </w:r>
      <w:r>
        <w:rPr>
          <w:rFonts w:hint="eastAsia" w:ascii="仿宋_GB2312" w:hAnsi="ˎ̥" w:eastAsia="仿宋_GB2312"/>
          <w:color w:val="000000"/>
          <w:sz w:val="32"/>
          <w:szCs w:val="32"/>
          <w:highlight w:val="none"/>
          <w:lang w:val="en-US" w:eastAsia="zh-CN"/>
        </w:rPr>
        <w:t>16.38</w:t>
      </w:r>
      <w:r>
        <w:rPr>
          <w:rFonts w:hint="eastAsia" w:ascii="仿宋_GB2312" w:hAnsi="ˎ̥" w:eastAsia="仿宋_GB2312"/>
          <w:color w:val="000000"/>
          <w:sz w:val="32"/>
          <w:szCs w:val="32"/>
          <w:highlight w:val="none"/>
        </w:rPr>
        <w:t>万元，完成年初预算的</w:t>
      </w:r>
      <w:r>
        <w:rPr>
          <w:rFonts w:hint="eastAsia" w:ascii="仿宋_GB2312" w:hAnsi="ˎ̥" w:eastAsia="仿宋_GB2312"/>
          <w:color w:val="000000"/>
          <w:sz w:val="32"/>
          <w:szCs w:val="32"/>
          <w:highlight w:val="none"/>
          <w:lang w:val="en-US" w:eastAsia="zh-CN"/>
        </w:rPr>
        <w:t>69.4</w:t>
      </w:r>
      <w:r>
        <w:rPr>
          <w:rFonts w:hint="eastAsia" w:ascii="仿宋_GB2312" w:hAnsi="ˎ̥" w:eastAsia="仿宋_GB2312"/>
          <w:color w:val="000000"/>
          <w:sz w:val="32"/>
          <w:szCs w:val="32"/>
          <w:highlight w:val="none"/>
        </w:rPr>
        <w:t>%。决算数</w:t>
      </w:r>
      <w:r>
        <w:rPr>
          <w:rFonts w:hint="eastAsia" w:ascii="仿宋_GB2312" w:hAnsi="ˎ̥" w:eastAsia="仿宋_GB2312"/>
          <w:color w:val="000000"/>
          <w:sz w:val="32"/>
          <w:szCs w:val="32"/>
          <w:highlight w:val="none"/>
          <w:lang w:eastAsia="zh-CN"/>
        </w:rPr>
        <w:t>小</w:t>
      </w:r>
      <w:r>
        <w:rPr>
          <w:rFonts w:hint="eastAsia" w:ascii="仿宋_GB2312" w:hAnsi="ˎ̥" w:eastAsia="仿宋_GB2312"/>
          <w:color w:val="000000"/>
          <w:sz w:val="32"/>
          <w:szCs w:val="32"/>
          <w:highlight w:val="none"/>
        </w:rPr>
        <w:t>于预算数的主要原因：是</w:t>
      </w:r>
      <w:r>
        <w:rPr>
          <w:rFonts w:hint="eastAsia" w:ascii="仿宋_GB2312" w:hAnsi="ˎ̥" w:eastAsia="仿宋_GB2312"/>
          <w:color w:val="000000"/>
          <w:sz w:val="32"/>
          <w:szCs w:val="32"/>
          <w:highlight w:val="none"/>
          <w:lang w:eastAsia="zh-CN"/>
        </w:rPr>
        <w:t>年初预算多做，保障人员社会保险足额支出。</w:t>
      </w:r>
    </w:p>
    <w:p>
      <w:pPr>
        <w:keepNext w:val="0"/>
        <w:keepLines w:val="0"/>
        <w:pageBreakBefore w:val="0"/>
        <w:numPr>
          <w:ilvl w:val="0"/>
          <w:numId w:val="3"/>
        </w:numPr>
        <w:kinsoku/>
        <w:wordWrap/>
        <w:overflowPunct/>
        <w:topLinePunct w:val="0"/>
        <w:autoSpaceDE/>
        <w:autoSpaceDN/>
        <w:bidi w:val="0"/>
        <w:adjustRightInd/>
        <w:snapToGrid/>
        <w:spacing w:line="560" w:lineRule="exact"/>
        <w:ind w:firstLine="643" w:firstLineChars="200"/>
        <w:textAlignment w:val="auto"/>
        <w:rPr>
          <w:rFonts w:hint="eastAsia" w:ascii="仿宋_GB2312" w:hAnsi="ˎ̥" w:eastAsia="仿宋_GB2312"/>
          <w:color w:val="000000"/>
          <w:sz w:val="32"/>
          <w:szCs w:val="32"/>
          <w:highlight w:val="none"/>
        </w:rPr>
      </w:pPr>
      <w:r>
        <w:rPr>
          <w:rFonts w:hint="eastAsia" w:ascii="仿宋_GB2312" w:hAnsi="ˎ̥" w:eastAsia="仿宋_GB2312"/>
          <w:b/>
          <w:color w:val="auto"/>
          <w:sz w:val="32"/>
          <w:szCs w:val="32"/>
          <w:highlight w:val="none"/>
          <w:lang w:eastAsia="zh-CN"/>
        </w:rPr>
        <w:t>卫生健康支出</w:t>
      </w:r>
      <w:r>
        <w:rPr>
          <w:rFonts w:hint="eastAsia" w:ascii="仿宋_GB2312" w:hAnsi="ˎ̥" w:eastAsia="仿宋_GB2312"/>
          <w:b/>
          <w:color w:val="auto"/>
          <w:sz w:val="32"/>
          <w:szCs w:val="32"/>
          <w:highlight w:val="none"/>
        </w:rPr>
        <w:t>（类）</w:t>
      </w:r>
      <w:r>
        <w:rPr>
          <w:rFonts w:hint="eastAsia" w:ascii="仿宋_GB2312" w:hAnsi="ˎ̥" w:eastAsia="仿宋_GB2312"/>
          <w:b/>
          <w:color w:val="auto"/>
          <w:sz w:val="32"/>
          <w:szCs w:val="32"/>
          <w:highlight w:val="none"/>
          <w:lang w:eastAsia="zh-CN"/>
        </w:rPr>
        <w:t>行政事业单位医疗</w:t>
      </w:r>
      <w:r>
        <w:rPr>
          <w:rFonts w:hint="eastAsia" w:ascii="仿宋_GB2312" w:hAnsi="ˎ̥" w:eastAsia="仿宋_GB2312"/>
          <w:b/>
          <w:color w:val="auto"/>
          <w:sz w:val="32"/>
          <w:szCs w:val="32"/>
          <w:highlight w:val="none"/>
        </w:rPr>
        <w:t>（款）</w:t>
      </w:r>
      <w:r>
        <w:rPr>
          <w:rFonts w:hint="eastAsia" w:ascii="仿宋_GB2312" w:hAnsi="ˎ̥" w:eastAsia="仿宋_GB2312"/>
          <w:b/>
          <w:color w:val="auto"/>
          <w:sz w:val="32"/>
          <w:szCs w:val="32"/>
          <w:highlight w:val="none"/>
          <w:lang w:eastAsia="zh-CN"/>
        </w:rPr>
        <w:t>公务员医疗补助</w:t>
      </w:r>
      <w:r>
        <w:rPr>
          <w:rFonts w:hint="eastAsia" w:ascii="仿宋_GB2312" w:hAnsi="ˎ̥" w:eastAsia="仿宋_GB2312"/>
          <w:b/>
          <w:color w:val="auto"/>
          <w:sz w:val="32"/>
          <w:szCs w:val="32"/>
          <w:highlight w:val="none"/>
        </w:rPr>
        <w:t>（项）</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_GB2312" w:hAnsi="ˎ̥" w:eastAsia="仿宋_GB2312"/>
          <w:color w:val="000000"/>
          <w:sz w:val="32"/>
          <w:szCs w:val="32"/>
          <w:highlight w:val="none"/>
          <w:lang w:eastAsia="zh-CN"/>
        </w:rPr>
      </w:pPr>
      <w:r>
        <w:rPr>
          <w:rFonts w:hint="eastAsia" w:ascii="仿宋_GB2312" w:hAnsi="ˎ̥" w:eastAsia="仿宋_GB2312"/>
          <w:color w:val="000000"/>
          <w:sz w:val="32"/>
          <w:szCs w:val="32"/>
          <w:highlight w:val="none"/>
        </w:rPr>
        <w:t>年初预算为</w:t>
      </w:r>
      <w:r>
        <w:rPr>
          <w:rFonts w:hint="eastAsia" w:ascii="仿宋_GB2312" w:hAnsi="ˎ̥" w:eastAsia="仿宋_GB2312"/>
          <w:color w:val="000000"/>
          <w:sz w:val="32"/>
          <w:szCs w:val="32"/>
          <w:highlight w:val="none"/>
          <w:lang w:val="en-US" w:eastAsia="zh-CN"/>
        </w:rPr>
        <w:t>43.63</w:t>
      </w:r>
      <w:r>
        <w:rPr>
          <w:rFonts w:hint="eastAsia" w:ascii="仿宋_GB2312" w:hAnsi="ˎ̥" w:eastAsia="仿宋_GB2312"/>
          <w:color w:val="000000"/>
          <w:sz w:val="32"/>
          <w:szCs w:val="32"/>
          <w:highlight w:val="none"/>
        </w:rPr>
        <w:t>万元，支出决算为</w:t>
      </w:r>
      <w:r>
        <w:rPr>
          <w:rFonts w:hint="eastAsia" w:ascii="仿宋_GB2312" w:hAnsi="ˎ̥" w:eastAsia="仿宋_GB2312"/>
          <w:color w:val="000000"/>
          <w:sz w:val="32"/>
          <w:szCs w:val="32"/>
          <w:highlight w:val="none"/>
          <w:lang w:val="en-US" w:eastAsia="zh-CN"/>
        </w:rPr>
        <w:t>39.46</w:t>
      </w:r>
      <w:r>
        <w:rPr>
          <w:rFonts w:hint="eastAsia" w:ascii="仿宋_GB2312" w:hAnsi="ˎ̥" w:eastAsia="仿宋_GB2312"/>
          <w:color w:val="000000"/>
          <w:sz w:val="32"/>
          <w:szCs w:val="32"/>
          <w:highlight w:val="none"/>
        </w:rPr>
        <w:t>万元，完成年初预算的</w:t>
      </w:r>
      <w:r>
        <w:rPr>
          <w:rFonts w:hint="eastAsia" w:ascii="仿宋_GB2312" w:hAnsi="ˎ̥" w:eastAsia="仿宋_GB2312"/>
          <w:color w:val="000000"/>
          <w:sz w:val="32"/>
          <w:szCs w:val="32"/>
          <w:highlight w:val="none"/>
          <w:lang w:val="en-US" w:eastAsia="zh-CN"/>
        </w:rPr>
        <w:t>90.4</w:t>
      </w:r>
      <w:r>
        <w:rPr>
          <w:rFonts w:hint="eastAsia" w:ascii="仿宋_GB2312" w:hAnsi="ˎ̥" w:eastAsia="仿宋_GB2312"/>
          <w:color w:val="000000"/>
          <w:sz w:val="32"/>
          <w:szCs w:val="32"/>
          <w:highlight w:val="none"/>
        </w:rPr>
        <w:t>%。决算数</w:t>
      </w:r>
      <w:r>
        <w:rPr>
          <w:rFonts w:hint="eastAsia" w:ascii="仿宋_GB2312" w:hAnsi="ˎ̥" w:eastAsia="仿宋_GB2312"/>
          <w:color w:val="000000"/>
          <w:sz w:val="32"/>
          <w:szCs w:val="32"/>
          <w:highlight w:val="none"/>
          <w:lang w:eastAsia="zh-CN"/>
        </w:rPr>
        <w:t>小</w:t>
      </w:r>
      <w:r>
        <w:rPr>
          <w:rFonts w:hint="eastAsia" w:ascii="仿宋_GB2312" w:hAnsi="ˎ̥" w:eastAsia="仿宋_GB2312"/>
          <w:color w:val="000000"/>
          <w:sz w:val="32"/>
          <w:szCs w:val="32"/>
          <w:highlight w:val="none"/>
        </w:rPr>
        <w:t>于预算数的主要原因：是</w:t>
      </w:r>
      <w:r>
        <w:rPr>
          <w:rFonts w:hint="eastAsia" w:ascii="仿宋_GB2312" w:hAnsi="ˎ̥" w:eastAsia="仿宋_GB2312"/>
          <w:color w:val="000000"/>
          <w:sz w:val="32"/>
          <w:szCs w:val="32"/>
          <w:highlight w:val="none"/>
          <w:lang w:eastAsia="zh-CN"/>
        </w:rPr>
        <w:t>年初预算多做，保障人员社会保险足额支出。</w:t>
      </w:r>
    </w:p>
    <w:p>
      <w:pPr>
        <w:keepNext w:val="0"/>
        <w:keepLines w:val="0"/>
        <w:pageBreakBefore w:val="0"/>
        <w:numPr>
          <w:ilvl w:val="0"/>
          <w:numId w:val="3"/>
        </w:numPr>
        <w:kinsoku/>
        <w:wordWrap/>
        <w:overflowPunct/>
        <w:topLinePunct w:val="0"/>
        <w:autoSpaceDE/>
        <w:autoSpaceDN/>
        <w:bidi w:val="0"/>
        <w:adjustRightInd/>
        <w:snapToGrid/>
        <w:spacing w:line="560" w:lineRule="exact"/>
        <w:ind w:firstLine="643" w:firstLineChars="200"/>
        <w:textAlignment w:val="auto"/>
        <w:rPr>
          <w:rFonts w:hint="eastAsia" w:ascii="仿宋_GB2312" w:hAnsi="ˎ̥" w:eastAsia="仿宋_GB2312"/>
          <w:color w:val="000000"/>
          <w:sz w:val="32"/>
          <w:szCs w:val="32"/>
          <w:highlight w:val="none"/>
        </w:rPr>
      </w:pPr>
      <w:r>
        <w:rPr>
          <w:rFonts w:hint="eastAsia" w:ascii="仿宋_GB2312" w:hAnsi="ˎ̥" w:eastAsia="仿宋_GB2312"/>
          <w:b/>
          <w:color w:val="auto"/>
          <w:sz w:val="32"/>
          <w:szCs w:val="32"/>
          <w:highlight w:val="none"/>
          <w:lang w:eastAsia="zh-CN"/>
        </w:rPr>
        <w:t>住房保障支出</w:t>
      </w:r>
      <w:r>
        <w:rPr>
          <w:rFonts w:hint="eastAsia" w:ascii="仿宋_GB2312" w:hAnsi="ˎ̥" w:eastAsia="仿宋_GB2312"/>
          <w:b/>
          <w:color w:val="auto"/>
          <w:sz w:val="32"/>
          <w:szCs w:val="32"/>
          <w:highlight w:val="none"/>
        </w:rPr>
        <w:t>（类）</w:t>
      </w:r>
      <w:r>
        <w:rPr>
          <w:rFonts w:hint="eastAsia" w:ascii="仿宋_GB2312" w:hAnsi="ˎ̥" w:eastAsia="仿宋_GB2312"/>
          <w:b/>
          <w:color w:val="auto"/>
          <w:sz w:val="32"/>
          <w:szCs w:val="32"/>
          <w:highlight w:val="none"/>
          <w:lang w:eastAsia="zh-CN"/>
        </w:rPr>
        <w:t>住房改革支出</w:t>
      </w:r>
      <w:r>
        <w:rPr>
          <w:rFonts w:hint="eastAsia" w:ascii="仿宋_GB2312" w:hAnsi="ˎ̥" w:eastAsia="仿宋_GB2312"/>
          <w:b/>
          <w:color w:val="auto"/>
          <w:sz w:val="32"/>
          <w:szCs w:val="32"/>
          <w:highlight w:val="none"/>
        </w:rPr>
        <w:t>（款）</w:t>
      </w:r>
      <w:r>
        <w:rPr>
          <w:rFonts w:hint="eastAsia" w:ascii="仿宋_GB2312" w:hAnsi="ˎ̥" w:eastAsia="仿宋_GB2312"/>
          <w:b/>
          <w:color w:val="auto"/>
          <w:sz w:val="32"/>
          <w:szCs w:val="32"/>
          <w:highlight w:val="none"/>
          <w:lang w:eastAsia="zh-CN"/>
        </w:rPr>
        <w:t>住房公积金</w:t>
      </w:r>
      <w:r>
        <w:rPr>
          <w:rFonts w:hint="eastAsia" w:ascii="仿宋_GB2312" w:hAnsi="ˎ̥" w:eastAsia="仿宋_GB2312"/>
          <w:b/>
          <w:color w:val="auto"/>
          <w:sz w:val="32"/>
          <w:szCs w:val="32"/>
          <w:highlight w:val="none"/>
        </w:rPr>
        <w:t>（项）</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_GB2312" w:hAnsi="ˎ̥" w:eastAsia="仿宋_GB2312"/>
          <w:color w:val="000000"/>
          <w:sz w:val="32"/>
          <w:szCs w:val="32"/>
          <w:highlight w:val="none"/>
          <w:lang w:eastAsia="zh-CN"/>
        </w:rPr>
      </w:pPr>
      <w:r>
        <w:rPr>
          <w:rFonts w:hint="eastAsia" w:ascii="仿宋_GB2312" w:hAnsi="ˎ̥" w:eastAsia="仿宋_GB2312"/>
          <w:color w:val="000000"/>
          <w:sz w:val="32"/>
          <w:szCs w:val="32"/>
          <w:highlight w:val="none"/>
        </w:rPr>
        <w:t>年初预算为</w:t>
      </w:r>
      <w:r>
        <w:rPr>
          <w:rFonts w:hint="eastAsia" w:ascii="仿宋_GB2312" w:hAnsi="ˎ̥" w:eastAsia="仿宋_GB2312"/>
          <w:color w:val="000000"/>
          <w:sz w:val="32"/>
          <w:szCs w:val="32"/>
          <w:highlight w:val="none"/>
          <w:lang w:val="en-US" w:eastAsia="zh-CN"/>
        </w:rPr>
        <w:t>34.36</w:t>
      </w:r>
      <w:r>
        <w:rPr>
          <w:rFonts w:hint="eastAsia" w:ascii="仿宋_GB2312" w:hAnsi="ˎ̥" w:eastAsia="仿宋_GB2312"/>
          <w:color w:val="000000"/>
          <w:sz w:val="32"/>
          <w:szCs w:val="32"/>
          <w:highlight w:val="none"/>
        </w:rPr>
        <w:t>万元，支出决算为</w:t>
      </w:r>
      <w:r>
        <w:rPr>
          <w:rFonts w:hint="eastAsia" w:ascii="仿宋_GB2312" w:hAnsi="ˎ̥" w:eastAsia="仿宋_GB2312"/>
          <w:color w:val="000000"/>
          <w:sz w:val="32"/>
          <w:szCs w:val="32"/>
          <w:highlight w:val="none"/>
          <w:lang w:val="en-US" w:eastAsia="zh-CN"/>
        </w:rPr>
        <w:t>31.15</w:t>
      </w:r>
      <w:r>
        <w:rPr>
          <w:rFonts w:hint="eastAsia" w:ascii="仿宋_GB2312" w:hAnsi="ˎ̥" w:eastAsia="仿宋_GB2312"/>
          <w:color w:val="000000"/>
          <w:sz w:val="32"/>
          <w:szCs w:val="32"/>
          <w:highlight w:val="none"/>
        </w:rPr>
        <w:t>万元，完成年初预算的</w:t>
      </w:r>
      <w:r>
        <w:rPr>
          <w:rFonts w:hint="eastAsia" w:ascii="仿宋_GB2312" w:hAnsi="ˎ̥" w:eastAsia="仿宋_GB2312"/>
          <w:color w:val="000000"/>
          <w:sz w:val="32"/>
          <w:szCs w:val="32"/>
          <w:highlight w:val="none"/>
          <w:lang w:val="en-US" w:eastAsia="zh-CN"/>
        </w:rPr>
        <w:t>90.7</w:t>
      </w:r>
      <w:r>
        <w:rPr>
          <w:rFonts w:hint="eastAsia" w:ascii="仿宋_GB2312" w:hAnsi="ˎ̥" w:eastAsia="仿宋_GB2312"/>
          <w:color w:val="000000"/>
          <w:sz w:val="32"/>
          <w:szCs w:val="32"/>
          <w:highlight w:val="none"/>
        </w:rPr>
        <w:t>%。决算数</w:t>
      </w:r>
      <w:r>
        <w:rPr>
          <w:rFonts w:hint="eastAsia" w:ascii="仿宋_GB2312" w:hAnsi="ˎ̥" w:eastAsia="仿宋_GB2312"/>
          <w:color w:val="000000"/>
          <w:sz w:val="32"/>
          <w:szCs w:val="32"/>
          <w:highlight w:val="none"/>
          <w:lang w:eastAsia="zh-CN"/>
        </w:rPr>
        <w:t>小</w:t>
      </w:r>
      <w:r>
        <w:rPr>
          <w:rFonts w:hint="eastAsia" w:ascii="仿宋_GB2312" w:hAnsi="ˎ̥" w:eastAsia="仿宋_GB2312"/>
          <w:color w:val="000000"/>
          <w:sz w:val="32"/>
          <w:szCs w:val="32"/>
          <w:highlight w:val="none"/>
        </w:rPr>
        <w:t>于预算数的主要原因：是</w:t>
      </w:r>
      <w:r>
        <w:rPr>
          <w:rFonts w:hint="eastAsia" w:ascii="仿宋_GB2312" w:hAnsi="ˎ̥" w:eastAsia="仿宋_GB2312"/>
          <w:color w:val="000000"/>
          <w:sz w:val="32"/>
          <w:szCs w:val="32"/>
          <w:highlight w:val="none"/>
          <w:lang w:eastAsia="zh-CN"/>
        </w:rPr>
        <w:t>年初预算多做，保障人员社会保险足额支出。</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_GB2312" w:hAnsi="ˎ̥" w:eastAsia="仿宋_GB2312"/>
          <w:color w:val="000000"/>
          <w:sz w:val="32"/>
          <w:szCs w:val="32"/>
          <w:highlight w:val="none"/>
          <w:lang w:eastAsia="zh-CN"/>
        </w:rPr>
      </w:pPr>
    </w:p>
    <w:p>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eastAsia" w:ascii="黑体" w:hAnsi="黑体" w:eastAsia="黑体" w:cs="黑体"/>
          <w:color w:val="000000"/>
          <w:sz w:val="32"/>
          <w:szCs w:val="32"/>
          <w:highlight w:val="none"/>
        </w:rPr>
      </w:pPr>
      <w:r>
        <w:rPr>
          <w:rFonts w:hint="eastAsia" w:ascii="黑体" w:hAnsi="黑体" w:eastAsia="黑体" w:cs="黑体"/>
          <w:bCs/>
          <w:color w:val="000000"/>
          <w:sz w:val="32"/>
          <w:szCs w:val="32"/>
          <w:highlight w:val="none"/>
        </w:rPr>
        <w:t>六、一般公共预算财政拨款基本支出决算情况说明</w:t>
      </w:r>
    </w:p>
    <w:p>
      <w:pPr>
        <w:keepNext w:val="0"/>
        <w:keepLines w:val="0"/>
        <w:pageBreakBefore w:val="0"/>
        <w:tabs>
          <w:tab w:val="center" w:pos="4473"/>
        </w:tabs>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2022年度财政拨款基本支出</w:t>
      </w:r>
      <w:r>
        <w:rPr>
          <w:rFonts w:hint="eastAsia" w:ascii="仿宋_GB2312" w:hAnsi="ˎ̥" w:eastAsia="仿宋_GB2312"/>
          <w:color w:val="000000"/>
          <w:sz w:val="32"/>
          <w:szCs w:val="32"/>
          <w:highlight w:val="none"/>
          <w:lang w:val="en-US" w:eastAsia="zh-CN"/>
        </w:rPr>
        <w:t>499.21</w:t>
      </w:r>
      <w:r>
        <w:rPr>
          <w:rFonts w:hint="eastAsia" w:ascii="仿宋_GB2312" w:hAnsi="ˎ̥" w:eastAsia="仿宋_GB2312"/>
          <w:color w:val="000000"/>
          <w:sz w:val="32"/>
          <w:szCs w:val="32"/>
          <w:highlight w:val="none"/>
        </w:rPr>
        <w:t>万元，其中：人员经费</w:t>
      </w:r>
      <w:r>
        <w:rPr>
          <w:rFonts w:hint="eastAsia" w:ascii="仿宋_GB2312" w:hAnsi="ˎ̥" w:eastAsia="仿宋_GB2312"/>
          <w:color w:val="000000"/>
          <w:sz w:val="32"/>
          <w:szCs w:val="32"/>
          <w:highlight w:val="none"/>
          <w:lang w:val="en-US" w:eastAsia="zh-CN"/>
        </w:rPr>
        <w:t>475.67</w:t>
      </w:r>
      <w:r>
        <w:rPr>
          <w:rFonts w:hint="eastAsia" w:ascii="仿宋_GB2312" w:hAnsi="ˎ̥" w:eastAsia="仿宋_GB2312"/>
          <w:color w:val="000000"/>
          <w:sz w:val="32"/>
          <w:szCs w:val="32"/>
          <w:highlight w:val="none"/>
        </w:rPr>
        <w:t>万元，主要包括：工资福利支出中的基本工资、津贴补贴、奖金、伙食补助费、绩效工资、机关事业单位基本养老保险缴费、职业年金缴费、职工基本医疗保险缴费、公务员医疗补助缴费、其他社会保障缴费、住房公积金、医疗费、其他工资福利支出；对个人和家庭的补助中的离休费、退休费、退职（役）费、抚恤金、生活补助、救济费、医疗费补助、助学金、奖励金、个人农业生产补贴、代缴社会保险费、其他对个人和家庭的补助。公用经费</w:t>
      </w:r>
      <w:r>
        <w:rPr>
          <w:rFonts w:hint="eastAsia" w:ascii="仿宋_GB2312" w:hAnsi="ˎ̥" w:eastAsia="仿宋_GB2312"/>
          <w:color w:val="000000"/>
          <w:sz w:val="32"/>
          <w:szCs w:val="32"/>
          <w:highlight w:val="none"/>
          <w:lang w:val="en-US" w:eastAsia="zh-CN"/>
        </w:rPr>
        <w:t>23.54</w:t>
      </w:r>
      <w:r>
        <w:rPr>
          <w:rFonts w:hint="eastAsia" w:ascii="仿宋_GB2312" w:hAnsi="ˎ̥" w:eastAsia="仿宋_GB2312"/>
          <w:color w:val="000000"/>
          <w:sz w:val="32"/>
          <w:szCs w:val="32"/>
          <w:highlight w:val="none"/>
        </w:rPr>
        <w:t>万元，主要包括：商品和服务支出中的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债务利息及费用支出中的国内债务付息及国外债务付息；资本性支出中的房屋建筑物构建、办公设备购置、专用设备购置、基础设施建设、大型修缮、信息网络及软件购置更新、物资储备、土地补偿、安置补助、地上附着物和青苗补偿、拆迁补偿、公务用车购置、其他交通工具购置、文物和陈列品购置、无形资产购置、其他资本性支出等；其他支出中的国家赔偿费用支出、对民间非营利组织和群众性自治组织补贴</w:t>
      </w:r>
      <w:r>
        <w:rPr>
          <w:rFonts w:hint="eastAsia" w:ascii="仿宋_GB2312" w:hAnsi="ˎ̥" w:eastAsia="仿宋_GB2312"/>
          <w:color w:val="000000"/>
          <w:sz w:val="32"/>
          <w:szCs w:val="32"/>
          <w:highlight w:val="none"/>
          <w:lang w:eastAsia="zh-CN"/>
        </w:rPr>
        <w:t>、经常性</w:t>
      </w:r>
      <w:r>
        <w:rPr>
          <w:rFonts w:hint="eastAsia" w:ascii="仿宋_GB2312" w:hAnsi="ˎ̥" w:eastAsia="仿宋_GB2312"/>
          <w:color w:val="000000"/>
          <w:sz w:val="32"/>
          <w:szCs w:val="32"/>
          <w:highlight w:val="none"/>
        </w:rPr>
        <w:t>赠予、</w:t>
      </w:r>
      <w:r>
        <w:rPr>
          <w:rFonts w:hint="eastAsia" w:ascii="仿宋_GB2312" w:hAnsi="ˎ̥" w:eastAsia="仿宋_GB2312"/>
          <w:color w:val="000000"/>
          <w:sz w:val="32"/>
          <w:szCs w:val="32"/>
          <w:highlight w:val="none"/>
          <w:lang w:eastAsia="zh-CN"/>
        </w:rPr>
        <w:t>资本性赠予</w:t>
      </w:r>
      <w:r>
        <w:rPr>
          <w:rFonts w:hint="eastAsia" w:ascii="仿宋_GB2312" w:hAnsi="ˎ̥" w:eastAsia="仿宋_GB2312"/>
          <w:color w:val="000000"/>
          <w:sz w:val="32"/>
          <w:szCs w:val="32"/>
          <w:highlight w:val="none"/>
        </w:rPr>
        <w:t>和其他支出。</w:t>
      </w:r>
    </w:p>
    <w:p>
      <w:pPr>
        <w:keepNext w:val="0"/>
        <w:keepLines w:val="0"/>
        <w:pageBreakBefore w:val="0"/>
        <w:tabs>
          <w:tab w:val="center" w:pos="4473"/>
        </w:tabs>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yellow"/>
        </w:rPr>
      </w:pPr>
    </w:p>
    <w:p>
      <w:pPr>
        <w:keepNext w:val="0"/>
        <w:keepLines w:val="0"/>
        <w:pageBreakBefore w:val="0"/>
        <w:tabs>
          <w:tab w:val="center" w:pos="4473"/>
        </w:tabs>
        <w:kinsoku/>
        <w:wordWrap/>
        <w:overflowPunct/>
        <w:topLinePunct w:val="0"/>
        <w:autoSpaceDE/>
        <w:autoSpaceDN/>
        <w:bidi w:val="0"/>
        <w:adjustRightInd/>
        <w:snapToGrid/>
        <w:spacing w:line="560" w:lineRule="exact"/>
        <w:ind w:firstLine="627" w:firstLineChars="196"/>
        <w:textAlignment w:val="auto"/>
        <w:rPr>
          <w:rFonts w:hint="eastAsia" w:ascii="黑体" w:hAnsi="黑体" w:eastAsia="黑体" w:cs="黑体"/>
          <w:bCs/>
          <w:color w:val="000000"/>
          <w:sz w:val="32"/>
          <w:szCs w:val="32"/>
          <w:highlight w:val="none"/>
        </w:rPr>
      </w:pPr>
      <w:r>
        <w:rPr>
          <w:rFonts w:hint="eastAsia" w:ascii="黑体" w:hAnsi="黑体" w:eastAsia="黑体" w:cs="黑体"/>
          <w:bCs/>
          <w:color w:val="000000"/>
          <w:sz w:val="32"/>
          <w:szCs w:val="32"/>
          <w:highlight w:val="none"/>
        </w:rPr>
        <w:t>七、政府性基金预算财政拨款支出决算情况说明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highlight w:val="none"/>
        </w:rPr>
      </w:pPr>
      <w:r>
        <w:rPr>
          <w:rFonts w:hint="eastAsia" w:ascii="楷体" w:hAnsi="楷体" w:eastAsia="楷体" w:cs="楷体"/>
          <w:color w:val="000000"/>
          <w:sz w:val="32"/>
          <w:szCs w:val="32"/>
          <w:highlight w:val="none"/>
        </w:rPr>
        <w:t>（一）政府性基金预算财政拨款支出决算总体情况。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highlight w:val="none"/>
          <w:lang w:eastAsia="zh-CN"/>
        </w:rPr>
      </w:pPr>
      <w:r>
        <w:rPr>
          <w:rFonts w:hint="eastAsia" w:ascii="楷体" w:hAnsi="楷体" w:eastAsia="楷体" w:cs="楷体"/>
          <w:color w:val="000000"/>
          <w:sz w:val="32"/>
          <w:szCs w:val="32"/>
          <w:highlight w:val="none"/>
          <w:lang w:eastAsia="zh-CN"/>
        </w:rPr>
        <w:t>无该项支出。</w:t>
      </w:r>
    </w:p>
    <w:p>
      <w:pPr>
        <w:keepNext w:val="0"/>
        <w:keepLines w:val="0"/>
        <w:pageBreakBefore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highlight w:val="none"/>
        </w:rPr>
      </w:pPr>
      <w:r>
        <w:rPr>
          <w:rFonts w:hint="eastAsia" w:ascii="楷体" w:hAnsi="楷体" w:eastAsia="楷体" w:cs="楷体"/>
          <w:color w:val="000000"/>
          <w:sz w:val="32"/>
          <w:szCs w:val="32"/>
          <w:highlight w:val="none"/>
        </w:rPr>
        <w:t>政府性基金预算财政拨款支出决算结构情况。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color w:val="000000"/>
          <w:sz w:val="32"/>
          <w:szCs w:val="32"/>
          <w:highlight w:val="none"/>
          <w:lang w:eastAsia="zh-CN"/>
        </w:rPr>
      </w:pPr>
      <w:r>
        <w:rPr>
          <w:rFonts w:hint="eastAsia" w:ascii="楷体" w:hAnsi="楷体" w:eastAsia="楷体" w:cs="楷体"/>
          <w:color w:val="000000"/>
          <w:sz w:val="32"/>
          <w:szCs w:val="32"/>
          <w:highlight w:val="none"/>
          <w:lang w:eastAsia="zh-CN"/>
        </w:rPr>
        <w:t>无该项支出</w:t>
      </w:r>
    </w:p>
    <w:p>
      <w:pPr>
        <w:keepNext w:val="0"/>
        <w:keepLines w:val="0"/>
        <w:pageBreakBefore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highlight w:val="none"/>
        </w:rPr>
      </w:pPr>
      <w:r>
        <w:rPr>
          <w:rFonts w:hint="eastAsia" w:ascii="楷体" w:hAnsi="楷体" w:eastAsia="楷体" w:cs="楷体"/>
          <w:color w:val="000000"/>
          <w:sz w:val="32"/>
          <w:szCs w:val="32"/>
          <w:highlight w:val="none"/>
        </w:rPr>
        <w:t>政府性基金预算财政拨款支出决算具体情况。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楷体" w:hAnsi="楷体" w:eastAsia="楷体" w:cs="楷体"/>
          <w:color w:val="000000"/>
          <w:sz w:val="32"/>
          <w:szCs w:val="32"/>
          <w:highlight w:val="none"/>
          <w:lang w:eastAsia="zh-CN"/>
        </w:rPr>
      </w:pPr>
      <w:r>
        <w:rPr>
          <w:rFonts w:hint="eastAsia" w:ascii="楷体" w:hAnsi="楷体" w:eastAsia="楷体" w:cs="楷体"/>
          <w:color w:val="000000"/>
          <w:sz w:val="32"/>
          <w:szCs w:val="32"/>
          <w:highlight w:val="none"/>
          <w:lang w:eastAsia="zh-CN"/>
        </w:rPr>
        <w:t>无该项支出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楷体" w:hAnsi="楷体" w:eastAsia="楷体" w:cs="楷体"/>
          <w:color w:val="000000"/>
          <w:sz w:val="32"/>
          <w:szCs w:val="32"/>
          <w:highlight w:val="none"/>
          <w:lang w:eastAsia="zh-CN"/>
        </w:rPr>
      </w:pPr>
    </w:p>
    <w:p>
      <w:pPr>
        <w:keepNext w:val="0"/>
        <w:keepLines w:val="0"/>
        <w:pageBreakBefore w:val="0"/>
        <w:tabs>
          <w:tab w:val="center" w:pos="4473"/>
        </w:tabs>
        <w:kinsoku/>
        <w:wordWrap/>
        <w:overflowPunct/>
        <w:topLinePunct w:val="0"/>
        <w:autoSpaceDE/>
        <w:autoSpaceDN/>
        <w:bidi w:val="0"/>
        <w:adjustRightInd/>
        <w:snapToGrid/>
        <w:spacing w:line="560" w:lineRule="exact"/>
        <w:ind w:firstLine="627" w:firstLineChars="196"/>
        <w:textAlignment w:val="auto"/>
        <w:rPr>
          <w:rFonts w:hint="eastAsia" w:ascii="黑体" w:hAnsi="黑体" w:eastAsia="黑体" w:cs="黑体"/>
          <w:bCs/>
          <w:color w:val="000000"/>
          <w:sz w:val="32"/>
          <w:szCs w:val="32"/>
          <w:highlight w:val="none"/>
        </w:rPr>
      </w:pPr>
      <w:r>
        <w:rPr>
          <w:rFonts w:hint="eastAsia" w:ascii="黑体" w:hAnsi="黑体" w:eastAsia="黑体" w:cs="黑体"/>
          <w:bCs/>
          <w:color w:val="000000"/>
          <w:sz w:val="32"/>
          <w:szCs w:val="32"/>
          <w:highlight w:val="none"/>
        </w:rPr>
        <w:t>八、国有资本经营预算财政拨款支出决算情况说明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highlight w:val="none"/>
        </w:rPr>
      </w:pPr>
      <w:r>
        <w:rPr>
          <w:rFonts w:hint="eastAsia" w:ascii="楷体" w:hAnsi="楷体" w:eastAsia="楷体" w:cs="楷体"/>
          <w:color w:val="000000"/>
          <w:sz w:val="32"/>
          <w:szCs w:val="32"/>
          <w:highlight w:val="none"/>
        </w:rPr>
        <w:t>（一）国有资本经营预算财政拨款支出决算总体情况。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lang w:eastAsia="zh-CN"/>
        </w:rPr>
      </w:pPr>
      <w:r>
        <w:rPr>
          <w:rFonts w:hint="eastAsia" w:ascii="仿宋_GB2312" w:hAnsi="ˎ̥" w:eastAsia="仿宋_GB2312"/>
          <w:color w:val="000000"/>
          <w:sz w:val="32"/>
          <w:szCs w:val="32"/>
          <w:highlight w:val="none"/>
          <w:lang w:eastAsia="zh-CN"/>
        </w:rPr>
        <w:t>无该项支出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highlight w:val="none"/>
        </w:rPr>
      </w:pPr>
      <w:r>
        <w:rPr>
          <w:rFonts w:hint="eastAsia" w:ascii="楷体" w:hAnsi="楷体" w:eastAsia="楷体" w:cs="楷体"/>
          <w:color w:val="000000"/>
          <w:sz w:val="32"/>
          <w:szCs w:val="32"/>
          <w:highlight w:val="none"/>
        </w:rPr>
        <w:t>（二）国有资本经营预算财政拨款支出决算结构情况。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lang w:eastAsia="zh-CN"/>
        </w:rPr>
      </w:pPr>
      <w:r>
        <w:rPr>
          <w:rFonts w:hint="eastAsia" w:ascii="仿宋_GB2312" w:hAnsi="ˎ̥" w:eastAsia="仿宋_GB2312"/>
          <w:color w:val="000000"/>
          <w:sz w:val="32"/>
          <w:szCs w:val="32"/>
          <w:highlight w:val="none"/>
          <w:lang w:eastAsia="zh-CN"/>
        </w:rPr>
        <w:t>无该项支出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highlight w:val="none"/>
        </w:rPr>
      </w:pPr>
      <w:r>
        <w:rPr>
          <w:rFonts w:hint="eastAsia" w:ascii="楷体" w:hAnsi="楷体" w:eastAsia="楷体" w:cs="楷体"/>
          <w:color w:val="000000"/>
          <w:sz w:val="32"/>
          <w:szCs w:val="32"/>
          <w:highlight w:val="none"/>
        </w:rPr>
        <w:t>（三）国有资本经营预算财政拨款支出决算具体情况。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lang w:eastAsia="zh-CN"/>
        </w:rPr>
      </w:pPr>
      <w:r>
        <w:rPr>
          <w:rFonts w:hint="eastAsia" w:ascii="仿宋_GB2312" w:hAnsi="ˎ̥" w:eastAsia="仿宋_GB2312"/>
          <w:color w:val="000000"/>
          <w:sz w:val="32"/>
          <w:szCs w:val="32"/>
          <w:highlight w:val="none"/>
          <w:lang w:eastAsia="zh-CN"/>
        </w:rPr>
        <w:t>无该项支出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lang w:eastAsia="zh-CN"/>
        </w:rPr>
      </w:pPr>
    </w:p>
    <w:p>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eastAsia" w:ascii="仿宋_GB2312" w:hAnsi="ˎ̥" w:eastAsia="楷体_GB2312"/>
          <w:color w:val="000000"/>
          <w:sz w:val="32"/>
          <w:szCs w:val="32"/>
          <w:highlight w:val="none"/>
        </w:rPr>
      </w:pPr>
      <w:r>
        <w:rPr>
          <w:rFonts w:hint="eastAsia" w:ascii="黑体" w:hAnsi="黑体" w:eastAsia="黑体" w:cs="黑体"/>
          <w:bCs/>
          <w:color w:val="000000"/>
          <w:sz w:val="32"/>
          <w:szCs w:val="32"/>
          <w:highlight w:val="none"/>
        </w:rPr>
        <w:t>九、财政拨款“三公”经费支出决算情况说明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Cs/>
          <w:color w:val="000000"/>
          <w:sz w:val="32"/>
          <w:szCs w:val="32"/>
          <w:highlight w:val="none"/>
        </w:rPr>
      </w:pPr>
      <w:r>
        <w:rPr>
          <w:rFonts w:hint="eastAsia" w:ascii="楷体" w:hAnsi="楷体" w:eastAsia="楷体" w:cs="楷体"/>
          <w:bCs/>
          <w:color w:val="000000"/>
          <w:sz w:val="32"/>
          <w:szCs w:val="32"/>
          <w:highlight w:val="none"/>
        </w:rPr>
        <w:t>（一）财政拨款“三公”经费支出决算总体情况说明。</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 xml:space="preserve">    2022年度财政拨款“三公”经费支出预算为</w:t>
      </w:r>
      <w:r>
        <w:rPr>
          <w:rFonts w:hint="eastAsia" w:ascii="仿宋_GB2312" w:hAnsi="ˎ̥" w:eastAsia="仿宋_GB2312"/>
          <w:color w:val="000000"/>
          <w:sz w:val="32"/>
          <w:szCs w:val="32"/>
          <w:highlight w:val="none"/>
          <w:lang w:val="en-US" w:eastAsia="zh-CN"/>
        </w:rPr>
        <w:t>1.65</w:t>
      </w:r>
      <w:r>
        <w:rPr>
          <w:rFonts w:hint="eastAsia" w:ascii="仿宋_GB2312" w:hAnsi="ˎ̥" w:eastAsia="仿宋_GB2312"/>
          <w:color w:val="000000"/>
          <w:sz w:val="32"/>
          <w:szCs w:val="32"/>
          <w:highlight w:val="none"/>
        </w:rPr>
        <w:t>万元，支出决算为</w:t>
      </w:r>
      <w:r>
        <w:rPr>
          <w:rFonts w:hint="eastAsia" w:ascii="仿宋_GB2312" w:hAnsi="ˎ̥" w:eastAsia="仿宋_GB2312"/>
          <w:color w:val="000000"/>
          <w:sz w:val="32"/>
          <w:szCs w:val="32"/>
          <w:highlight w:val="none"/>
          <w:lang w:val="en-US" w:eastAsia="zh-CN"/>
        </w:rPr>
        <w:t>1.13</w:t>
      </w:r>
      <w:r>
        <w:rPr>
          <w:rFonts w:hint="eastAsia" w:ascii="仿宋_GB2312" w:hAnsi="ˎ̥" w:eastAsia="仿宋_GB2312"/>
          <w:color w:val="000000"/>
          <w:sz w:val="32"/>
          <w:szCs w:val="32"/>
          <w:highlight w:val="none"/>
        </w:rPr>
        <w:t>万元，完成预算的</w:t>
      </w:r>
      <w:r>
        <w:rPr>
          <w:rFonts w:hint="eastAsia" w:ascii="仿宋_GB2312" w:hAnsi="ˎ̥" w:eastAsia="仿宋_GB2312"/>
          <w:color w:val="000000"/>
          <w:sz w:val="32"/>
          <w:szCs w:val="32"/>
          <w:highlight w:val="none"/>
          <w:lang w:val="en-US" w:eastAsia="zh-CN"/>
        </w:rPr>
        <w:t>68.5</w:t>
      </w:r>
      <w:r>
        <w:rPr>
          <w:rFonts w:hint="eastAsia" w:ascii="仿宋_GB2312" w:hAnsi="ˎ̥" w:eastAsia="仿宋_GB2312"/>
          <w:color w:val="00000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楷体" w:hAnsi="楷体" w:eastAsia="楷体" w:cs="楷体"/>
          <w:color w:val="000000"/>
          <w:sz w:val="32"/>
          <w:szCs w:val="32"/>
          <w:highlight w:val="none"/>
        </w:rPr>
      </w:pPr>
      <w:r>
        <w:rPr>
          <w:rFonts w:hint="eastAsia" w:ascii="楷体" w:hAnsi="楷体" w:eastAsia="楷体" w:cs="楷体"/>
          <w:b/>
          <w:bCs/>
          <w:color w:val="000000"/>
          <w:sz w:val="32"/>
          <w:szCs w:val="32"/>
          <w:highlight w:val="none"/>
        </w:rPr>
        <w:t xml:space="preserve">   </w:t>
      </w:r>
      <w:r>
        <w:rPr>
          <w:rFonts w:hint="eastAsia" w:ascii="楷体" w:hAnsi="楷体" w:eastAsia="楷体" w:cs="楷体"/>
          <w:color w:val="000000"/>
          <w:sz w:val="32"/>
          <w:szCs w:val="32"/>
          <w:highlight w:val="none"/>
        </w:rPr>
        <w:t xml:space="preserve"> （二）财政拨款“三公”经费支出决算具体情况说明。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2022年度财政拨款“三公”经费支出决算中，因公出国（境）费支出决算</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%；公务用车购置及运行维护费支出决算</w:t>
      </w:r>
      <w:r>
        <w:rPr>
          <w:rFonts w:hint="eastAsia" w:ascii="仿宋_GB2312" w:hAnsi="ˎ̥" w:eastAsia="仿宋_GB2312"/>
          <w:color w:val="000000"/>
          <w:sz w:val="32"/>
          <w:szCs w:val="32"/>
          <w:highlight w:val="none"/>
          <w:lang w:val="en-US" w:eastAsia="zh-CN"/>
        </w:rPr>
        <w:t>1.13</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100</w:t>
      </w:r>
      <w:r>
        <w:rPr>
          <w:rFonts w:hint="eastAsia" w:ascii="仿宋_GB2312" w:hAnsi="ˎ̥" w:eastAsia="仿宋_GB2312"/>
          <w:color w:val="000000"/>
          <w:sz w:val="32"/>
          <w:szCs w:val="32"/>
          <w:highlight w:val="none"/>
        </w:rPr>
        <w:t>%；公务接待费支出决算</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%。具体情况如下：</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ˎ̥" w:eastAsia="仿宋_GB2312"/>
          <w:color w:val="000000"/>
          <w:sz w:val="32"/>
          <w:szCs w:val="32"/>
          <w:highlight w:val="none"/>
        </w:rPr>
      </w:pPr>
      <w:r>
        <w:rPr>
          <w:rFonts w:hint="eastAsia" w:ascii="仿宋_GB2312" w:hAnsi="ˎ̥" w:eastAsia="仿宋_GB2312"/>
          <w:b/>
          <w:color w:val="000000"/>
          <w:sz w:val="32"/>
          <w:szCs w:val="32"/>
          <w:highlight w:val="none"/>
        </w:rPr>
        <w:t xml:space="preserve"> </w:t>
      </w:r>
      <w:r>
        <w:rPr>
          <w:rFonts w:hint="eastAsia" w:ascii="仿宋_GB2312" w:hAnsi="ˎ̥" w:eastAsia="仿宋_GB2312"/>
          <w:b/>
          <w:color w:val="000000"/>
          <w:sz w:val="32"/>
          <w:szCs w:val="32"/>
          <w:highlight w:val="none"/>
          <w:lang w:val="en-US" w:eastAsia="zh-CN"/>
        </w:rPr>
        <w:t>1</w:t>
      </w:r>
      <w:r>
        <w:rPr>
          <w:rFonts w:hint="eastAsia" w:ascii="仿宋_GB2312" w:hAnsi="ˎ̥" w:eastAsia="仿宋_GB2312"/>
          <w:b/>
          <w:color w:val="000000"/>
          <w:sz w:val="32"/>
          <w:szCs w:val="32"/>
          <w:highlight w:val="none"/>
        </w:rPr>
        <w:t>.公务用车购置及运行维护费支出</w:t>
      </w:r>
      <w:r>
        <w:rPr>
          <w:rFonts w:hint="eastAsia" w:ascii="仿宋_GB2312" w:hAnsi="ˎ̥" w:eastAsia="仿宋_GB2312"/>
          <w:color w:val="000000"/>
          <w:sz w:val="32"/>
          <w:szCs w:val="32"/>
          <w:highlight w:val="none"/>
          <w:lang w:val="en-US" w:eastAsia="zh-CN"/>
        </w:rPr>
        <w:t>1.13</w:t>
      </w:r>
      <w:r>
        <w:rPr>
          <w:rFonts w:hint="eastAsia" w:ascii="仿宋_GB2312" w:hAnsi="ˎ̥" w:eastAsia="仿宋_GB2312"/>
          <w:color w:val="000000"/>
          <w:sz w:val="32"/>
          <w:szCs w:val="32"/>
          <w:highlight w:val="none"/>
        </w:rPr>
        <w:t>万元。其中：</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ˎ̥" w:eastAsia="仿宋_GB2312"/>
          <w:color w:val="000000"/>
          <w:sz w:val="32"/>
          <w:szCs w:val="32"/>
          <w:highlight w:val="none"/>
        </w:rPr>
      </w:pPr>
      <w:r>
        <w:rPr>
          <w:rFonts w:hint="eastAsia" w:ascii="仿宋_GB2312" w:hAnsi="ˎ̥" w:eastAsia="仿宋_GB2312"/>
          <w:b/>
          <w:color w:val="000000"/>
          <w:sz w:val="32"/>
          <w:szCs w:val="32"/>
          <w:highlight w:val="none"/>
        </w:rPr>
        <w:t>公务用车运行维护费</w:t>
      </w:r>
      <w:r>
        <w:rPr>
          <w:rFonts w:hint="eastAsia" w:ascii="仿宋_GB2312" w:hAnsi="ˎ̥" w:eastAsia="仿宋_GB2312"/>
          <w:color w:val="000000"/>
          <w:sz w:val="32"/>
          <w:szCs w:val="32"/>
          <w:highlight w:val="none"/>
        </w:rPr>
        <w:t>支出</w:t>
      </w:r>
      <w:r>
        <w:rPr>
          <w:rFonts w:hint="eastAsia" w:ascii="仿宋_GB2312" w:hAnsi="ˎ̥" w:eastAsia="仿宋_GB2312"/>
          <w:color w:val="000000"/>
          <w:sz w:val="32"/>
          <w:szCs w:val="32"/>
          <w:highlight w:val="none"/>
          <w:lang w:val="en-US" w:eastAsia="zh-CN"/>
        </w:rPr>
        <w:t>1.13</w:t>
      </w:r>
      <w:r>
        <w:rPr>
          <w:rFonts w:hint="eastAsia" w:ascii="仿宋_GB2312" w:hAnsi="ˎ̥" w:eastAsia="仿宋_GB2312"/>
          <w:color w:val="000000"/>
          <w:sz w:val="32"/>
          <w:szCs w:val="32"/>
          <w:highlight w:val="none"/>
        </w:rPr>
        <w:t>万元，主要用于</w:t>
      </w:r>
      <w:r>
        <w:rPr>
          <w:rFonts w:hint="eastAsia" w:ascii="仿宋_GB2312" w:hAnsi="ˎ̥" w:eastAsia="仿宋_GB2312"/>
          <w:color w:val="000000"/>
          <w:sz w:val="32"/>
          <w:szCs w:val="32"/>
          <w:highlight w:val="none"/>
          <w:lang w:eastAsia="zh-CN"/>
        </w:rPr>
        <w:t>车辆运行及维护。</w:t>
      </w:r>
      <w:r>
        <w:rPr>
          <w:rFonts w:hint="eastAsia" w:ascii="仿宋_GB2312" w:hAnsi="ˎ̥" w:eastAsia="仿宋_GB2312"/>
          <w:color w:val="000000"/>
          <w:sz w:val="32"/>
          <w:szCs w:val="32"/>
          <w:highlight w:val="none"/>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color w:val="000000"/>
          <w:sz w:val="32"/>
          <w:szCs w:val="32"/>
          <w:highlight w:val="none"/>
        </w:rPr>
      </w:pPr>
      <w:r>
        <w:rPr>
          <w:rFonts w:hint="eastAsia" w:ascii="黑体" w:hAnsi="黑体" w:eastAsia="黑体" w:cs="黑体"/>
          <w:bCs/>
          <w:color w:val="000000"/>
          <w:sz w:val="32"/>
          <w:szCs w:val="32"/>
          <w:highlight w:val="none"/>
        </w:rPr>
        <w:t>十、预算绩效情况说明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color w:val="000000"/>
          <w:sz w:val="32"/>
          <w:szCs w:val="32"/>
          <w:highlight w:val="none"/>
        </w:rPr>
      </w:pPr>
      <w:r>
        <w:rPr>
          <w:rFonts w:hint="eastAsia" w:ascii="楷体" w:hAnsi="楷体" w:eastAsia="楷体" w:cs="楷体"/>
          <w:b w:val="0"/>
          <w:bCs/>
          <w:color w:val="000000"/>
          <w:sz w:val="32"/>
          <w:szCs w:val="32"/>
          <w:highlight w:val="none"/>
          <w:lang w:eastAsia="zh-CN"/>
        </w:rPr>
        <w:t>（一）</w:t>
      </w:r>
      <w:r>
        <w:rPr>
          <w:rFonts w:hint="eastAsia" w:ascii="楷体" w:hAnsi="楷体" w:eastAsia="楷体" w:cs="楷体"/>
          <w:b w:val="0"/>
          <w:bCs/>
          <w:color w:val="000000"/>
          <w:sz w:val="32"/>
          <w:szCs w:val="32"/>
          <w:highlight w:val="none"/>
        </w:rPr>
        <w:t>绩效管理工作开展情况。</w:t>
      </w:r>
      <w:r>
        <w:rPr>
          <w:rFonts w:hint="eastAsia" w:ascii="楷体" w:hAnsi="楷体" w:eastAsia="楷体" w:cs="楷体"/>
          <w:b w:val="0"/>
          <w:bCs/>
          <w:color w:val="000000"/>
          <w:sz w:val="32"/>
          <w:szCs w:val="32"/>
          <w:highlight w:val="none"/>
          <w:lang w:eastAsia="zh-CN"/>
        </w:rPr>
        <w:t>（无）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highlight w:val="none"/>
          <w:lang w:val="en-US" w:eastAsia="zh-CN"/>
        </w:rPr>
      </w:pPr>
      <w:r>
        <w:rPr>
          <w:rFonts w:hint="eastAsia" w:ascii="楷体" w:hAnsi="楷体" w:eastAsia="楷体" w:cs="楷体"/>
          <w:b w:val="0"/>
          <w:bCs/>
          <w:color w:val="000000"/>
          <w:sz w:val="32"/>
          <w:szCs w:val="32"/>
          <w:highlight w:val="none"/>
          <w:lang w:eastAsia="zh-CN"/>
        </w:rPr>
        <w:t>（二）</w:t>
      </w:r>
      <w:r>
        <w:rPr>
          <w:rFonts w:hint="eastAsia" w:ascii="楷体" w:hAnsi="楷体" w:eastAsia="楷体" w:cs="楷体"/>
          <w:b w:val="0"/>
          <w:bCs/>
          <w:color w:val="000000"/>
          <w:sz w:val="32"/>
          <w:szCs w:val="32"/>
          <w:highlight w:val="none"/>
        </w:rPr>
        <w:t>部门决算中项目绩效自评结果</w:t>
      </w:r>
      <w:r>
        <w:rPr>
          <w:rFonts w:hint="eastAsia" w:ascii="楷体" w:hAnsi="楷体" w:eastAsia="楷体" w:cs="楷体"/>
          <w:b w:val="0"/>
          <w:bCs/>
          <w:color w:val="000000"/>
          <w:sz w:val="32"/>
          <w:szCs w:val="32"/>
          <w:highlight w:val="none"/>
          <w:lang w:eastAsia="zh-CN"/>
        </w:rPr>
        <w:t>。（无）</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000000"/>
          <w:sz w:val="32"/>
          <w:szCs w:val="32"/>
          <w:highlight w:val="none"/>
          <w:lang w:val="en-US" w:eastAsia="zh-CN"/>
        </w:rPr>
      </w:pPr>
      <w:r>
        <w:rPr>
          <w:rFonts w:hint="eastAsia" w:ascii="楷体" w:hAnsi="楷体" w:eastAsia="楷体" w:cs="楷体"/>
          <w:b w:val="0"/>
          <w:bCs/>
          <w:color w:val="000000"/>
          <w:sz w:val="32"/>
          <w:szCs w:val="32"/>
          <w:highlight w:val="none"/>
          <w:lang w:eastAsia="zh-CN"/>
        </w:rPr>
        <w:t>（三）</w:t>
      </w:r>
      <w:r>
        <w:rPr>
          <w:rFonts w:hint="eastAsia" w:ascii="楷体" w:hAnsi="楷体" w:eastAsia="楷体" w:cs="楷体"/>
          <w:b w:val="0"/>
          <w:bCs/>
          <w:color w:val="000000"/>
          <w:sz w:val="32"/>
          <w:szCs w:val="32"/>
          <w:highlight w:val="none"/>
          <w:lang w:val="en-US"/>
        </w:rPr>
        <w:t>部门评价结果</w:t>
      </w:r>
      <w:r>
        <w:rPr>
          <w:rFonts w:hint="eastAsia" w:ascii="楷体" w:hAnsi="楷体" w:eastAsia="楷体" w:cs="楷体"/>
          <w:b w:val="0"/>
          <w:bCs/>
          <w:color w:val="000000"/>
          <w:sz w:val="32"/>
          <w:szCs w:val="32"/>
          <w:highlight w:val="none"/>
          <w:lang w:val="en-US" w:eastAsia="zh-CN"/>
        </w:rPr>
        <w:t>。（无）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color w:val="000000"/>
          <w:sz w:val="32"/>
          <w:szCs w:val="32"/>
          <w:highlight w:val="none"/>
        </w:rPr>
      </w:pPr>
      <w:r>
        <w:rPr>
          <w:rFonts w:hint="eastAsia" w:ascii="楷体" w:hAnsi="楷体" w:eastAsia="楷体" w:cs="楷体"/>
          <w:b w:val="0"/>
          <w:bCs/>
          <w:color w:val="000000"/>
          <w:sz w:val="32"/>
          <w:szCs w:val="32"/>
          <w:highlight w:val="none"/>
          <w:lang w:eastAsia="zh-CN"/>
        </w:rPr>
        <w:t>（四）财政评价结果</w:t>
      </w:r>
      <w:r>
        <w:rPr>
          <w:rFonts w:hint="eastAsia" w:ascii="楷体" w:hAnsi="楷体" w:eastAsia="楷体" w:cs="楷体"/>
          <w:b w:val="0"/>
          <w:bCs/>
          <w:color w:val="000000"/>
          <w:sz w:val="32"/>
          <w:szCs w:val="32"/>
          <w:highlight w:val="none"/>
        </w:rPr>
        <w:t>。</w:t>
      </w:r>
      <w:r>
        <w:rPr>
          <w:rFonts w:hint="eastAsia" w:ascii="楷体" w:hAnsi="楷体" w:eastAsia="楷体" w:cs="楷体"/>
          <w:b w:val="0"/>
          <w:bCs/>
          <w:color w:val="000000"/>
          <w:sz w:val="32"/>
          <w:szCs w:val="32"/>
          <w:highlight w:val="none"/>
          <w:lang w:eastAsia="zh-CN"/>
        </w:rPr>
        <w:t>（无）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color w:val="000000"/>
          <w:sz w:val="32"/>
          <w:szCs w:val="32"/>
          <w:highlight w:val="none"/>
        </w:rPr>
      </w:pPr>
      <w:r>
        <w:rPr>
          <w:rFonts w:hint="eastAsia" w:ascii="黑体" w:hAnsi="黑体" w:eastAsia="黑体" w:cs="黑体"/>
          <w:bCs/>
          <w:color w:val="000000"/>
          <w:sz w:val="32"/>
          <w:szCs w:val="32"/>
          <w:highlight w:val="none"/>
        </w:rPr>
        <w:t>十一、其他重要事项情况说明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Cs/>
          <w:color w:val="000000"/>
          <w:sz w:val="32"/>
          <w:szCs w:val="32"/>
          <w:highlight w:val="none"/>
        </w:rPr>
      </w:pPr>
      <w:bookmarkStart w:id="95" w:name="_Toc18325_WPSOffice_Level2"/>
      <w:bookmarkStart w:id="96" w:name="_Toc15565_WPSOffice_Level2"/>
      <w:bookmarkStart w:id="97" w:name="_Toc15262_WPSOffice_Level2"/>
      <w:bookmarkStart w:id="98" w:name="_Toc23598_WPSOffice_Level2"/>
      <w:bookmarkStart w:id="99" w:name="_Toc32639_WPSOffice_Level2"/>
      <w:bookmarkStart w:id="100" w:name="_Toc5978_WPSOffice_Level2"/>
      <w:r>
        <w:rPr>
          <w:rFonts w:hint="eastAsia" w:ascii="楷体" w:hAnsi="楷体" w:eastAsia="楷体" w:cs="楷体"/>
          <w:bCs/>
          <w:color w:val="000000"/>
          <w:sz w:val="32"/>
          <w:szCs w:val="32"/>
          <w:highlight w:val="none"/>
        </w:rPr>
        <w:t>（一）机关运行经费支出情况。</w:t>
      </w:r>
      <w:bookmarkEnd w:id="95"/>
      <w:bookmarkEnd w:id="96"/>
      <w:bookmarkEnd w:id="97"/>
      <w:bookmarkEnd w:id="98"/>
      <w:bookmarkEnd w:id="99"/>
      <w:bookmarkEnd w:id="100"/>
      <w:r>
        <w:rPr>
          <w:rFonts w:hint="eastAsia" w:ascii="楷体" w:hAnsi="楷体" w:eastAsia="楷体" w:cs="楷体"/>
          <w:bCs/>
          <w:color w:val="000000"/>
          <w:sz w:val="32"/>
          <w:szCs w:val="32"/>
          <w:highlight w:val="none"/>
          <w:lang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bookmarkStart w:id="101" w:name="_Toc30383_WPSOffice_Level2"/>
      <w:bookmarkStart w:id="102" w:name="_Toc23966_WPSOffice_Level2"/>
      <w:bookmarkStart w:id="103" w:name="_Toc3131_WPSOffice_Level2"/>
      <w:bookmarkStart w:id="104" w:name="_Toc25333_WPSOffice_Level2"/>
      <w:bookmarkStart w:id="105" w:name="_Toc13084_WPSOffice_Level2"/>
      <w:bookmarkStart w:id="106" w:name="_Toc32689_WPSOffice_Level2"/>
      <w:r>
        <w:rPr>
          <w:rFonts w:hint="eastAsia" w:ascii="楷体" w:hAnsi="楷体" w:eastAsia="楷体" w:cs="楷体"/>
          <w:bCs/>
          <w:color w:val="000000"/>
          <w:sz w:val="32"/>
          <w:szCs w:val="32"/>
          <w:highlight w:val="none"/>
        </w:rPr>
        <w:t>（二）政府采购支出情况。</w:t>
      </w:r>
      <w:bookmarkEnd w:id="101"/>
      <w:bookmarkEnd w:id="102"/>
      <w:bookmarkEnd w:id="103"/>
      <w:bookmarkEnd w:id="104"/>
      <w:bookmarkEnd w:id="105"/>
      <w:bookmarkEnd w:id="106"/>
      <w:r>
        <w:rPr>
          <w:rFonts w:hint="eastAsia" w:ascii="楷体" w:hAnsi="楷体" w:eastAsia="楷体" w:cs="楷体"/>
          <w:bCs/>
          <w:color w:val="000000"/>
          <w:sz w:val="32"/>
          <w:szCs w:val="32"/>
          <w:highlight w:val="none"/>
          <w:lang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Cs/>
          <w:color w:val="000000"/>
          <w:sz w:val="32"/>
          <w:szCs w:val="32"/>
          <w:highlight w:val="none"/>
        </w:rPr>
      </w:pPr>
      <w:bookmarkStart w:id="107" w:name="_Toc29584_WPSOffice_Level2"/>
      <w:bookmarkStart w:id="108" w:name="_Toc6016_WPSOffice_Level2"/>
      <w:bookmarkStart w:id="109" w:name="_Toc527_WPSOffice_Level2"/>
      <w:bookmarkStart w:id="110" w:name="_Toc10902_WPSOffice_Level2"/>
      <w:bookmarkStart w:id="111" w:name="_Toc19989_WPSOffice_Level2"/>
      <w:bookmarkStart w:id="112" w:name="_Toc15129_WPSOffice_Level2"/>
      <w:r>
        <w:rPr>
          <w:rFonts w:hint="eastAsia" w:ascii="楷体" w:hAnsi="楷体" w:eastAsia="楷体" w:cs="楷体"/>
          <w:bCs/>
          <w:color w:val="000000"/>
          <w:sz w:val="32"/>
          <w:szCs w:val="32"/>
          <w:highlight w:val="none"/>
        </w:rPr>
        <w:t>（三）国有资产占用情况。</w:t>
      </w:r>
      <w:bookmarkEnd w:id="107"/>
      <w:bookmarkEnd w:id="108"/>
      <w:bookmarkEnd w:id="109"/>
      <w:bookmarkEnd w:id="110"/>
      <w:bookmarkEnd w:id="111"/>
      <w:bookmarkEnd w:id="112"/>
    </w:p>
    <w:p>
      <w:pPr>
        <w:spacing w:line="578" w:lineRule="exact"/>
        <w:ind w:firstLine="640" w:firstLineChars="200"/>
        <w:rPr>
          <w:rFonts w:hint="eastAsia" w:ascii="仿宋_GB2312" w:hAnsi="ˎ̥" w:eastAsia="仿宋_GB2312"/>
          <w:sz w:val="32"/>
          <w:szCs w:val="32"/>
        </w:rPr>
      </w:pPr>
      <w:bookmarkStart w:id="113" w:name="_Toc17580_WPSOffice_Level1"/>
      <w:bookmarkStart w:id="114" w:name="_Toc8808_WPSOffice_Level1"/>
      <w:bookmarkStart w:id="115" w:name="_Toc8874_WPSOffice_Level1"/>
      <w:bookmarkStart w:id="116" w:name="_Toc15425_WPSOffice_Level1"/>
      <w:bookmarkStart w:id="117" w:name="_Toc4398_WPSOffice_Level1"/>
      <w:bookmarkStart w:id="118" w:name="_Toc11039_WPSOffice_Level1"/>
      <w:r>
        <w:rPr>
          <w:rFonts w:hint="eastAsia" w:ascii="仿宋_GB2312" w:hAnsi="ˎ̥" w:eastAsia="仿宋_GB2312"/>
          <w:sz w:val="32"/>
          <w:szCs w:val="32"/>
        </w:rPr>
        <w:t>截至202</w:t>
      </w:r>
      <w:r>
        <w:rPr>
          <w:rFonts w:hint="eastAsia" w:ascii="仿宋_GB2312" w:hAnsi="ˎ̥" w:eastAsia="仿宋_GB2312"/>
          <w:sz w:val="32"/>
          <w:szCs w:val="32"/>
          <w:lang w:val="en-US" w:eastAsia="zh-CN"/>
        </w:rPr>
        <w:t>2</w:t>
      </w:r>
      <w:r>
        <w:rPr>
          <w:rFonts w:hint="eastAsia" w:ascii="仿宋_GB2312" w:hAnsi="ˎ̥" w:eastAsia="仿宋_GB2312"/>
          <w:sz w:val="32"/>
          <w:szCs w:val="32"/>
        </w:rPr>
        <w:t>年12月31日，本部门占用房屋面积880平方米，其中：办公用房880平方米</w:t>
      </w:r>
      <w:r>
        <w:rPr>
          <w:rFonts w:hint="eastAsia" w:ascii="仿宋_GB2312" w:hAnsi="ˎ̥" w:eastAsia="仿宋_GB2312"/>
          <w:sz w:val="32"/>
          <w:szCs w:val="32"/>
          <w:lang w:eastAsia="zh-CN"/>
        </w:rPr>
        <w:t>（无房屋所有权）</w:t>
      </w:r>
      <w:r>
        <w:rPr>
          <w:rFonts w:hint="eastAsia" w:ascii="仿宋_GB2312" w:hAnsi="ˎ̥" w:eastAsia="仿宋_GB2312"/>
          <w:sz w:val="32"/>
          <w:szCs w:val="32"/>
        </w:rPr>
        <w:t>。本部门共有车辆1辆，其中：从车辆种类说明：轿车1辆；从车辆使用情况说明：其他用车1辆。</w:t>
      </w:r>
    </w:p>
    <w:p>
      <w:pPr>
        <w:spacing w:line="578" w:lineRule="exact"/>
        <w:ind w:firstLine="640" w:firstLineChars="200"/>
        <w:rPr>
          <w:rFonts w:hint="eastAsia" w:ascii="仿宋_GB2312" w:hAnsi="ˎ̥" w:eastAsia="仿宋_GB2312"/>
          <w:sz w:val="32"/>
          <w:szCs w:val="32"/>
        </w:rPr>
      </w:pPr>
      <w:r>
        <w:rPr>
          <w:rFonts w:hint="eastAsia" w:ascii="仿宋_GB2312" w:hAnsi="ˎ̥" w:eastAsia="仿宋_GB2312"/>
          <w:color w:val="000000"/>
          <w:sz w:val="32"/>
          <w:szCs w:val="32"/>
        </w:rPr>
        <w:t>年末在建工程0万元。</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ˎ̥" w:eastAsia="仿宋_GB2312"/>
          <w:bCs/>
          <w:color w:val="000000"/>
          <w:sz w:val="32"/>
          <w:szCs w:val="32"/>
          <w:highlight w:val="none"/>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ˎ̥" w:eastAsia="仿宋_GB2312"/>
          <w:bCs/>
          <w:color w:val="000000"/>
          <w:sz w:val="32"/>
          <w:szCs w:val="32"/>
          <w:highlight w:val="none"/>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ˎ̥" w:eastAsia="黑体"/>
          <w:color w:val="000000"/>
          <w:sz w:val="32"/>
          <w:szCs w:val="32"/>
          <w:highlight w:val="none"/>
        </w:rPr>
      </w:pPr>
      <w:r>
        <w:rPr>
          <w:rFonts w:hint="eastAsia" w:ascii="黑体" w:hAnsi="ˎ̥" w:eastAsia="黑体"/>
          <w:color w:val="000000"/>
          <w:sz w:val="32"/>
          <w:szCs w:val="32"/>
          <w:highlight w:val="none"/>
        </w:rPr>
        <w:t>第四部分  名词解释</w:t>
      </w:r>
      <w:bookmarkEnd w:id="113"/>
      <w:bookmarkEnd w:id="114"/>
      <w:bookmarkEnd w:id="115"/>
      <w:bookmarkEnd w:id="116"/>
      <w:bookmarkEnd w:id="117"/>
      <w:bookmarkEnd w:id="118"/>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ˎ̥" w:eastAsia="黑体"/>
          <w:color w:val="000000"/>
          <w:sz w:val="32"/>
          <w:szCs w:val="32"/>
          <w:highlight w:val="none"/>
        </w:rPr>
      </w:pPr>
    </w:p>
    <w:p>
      <w:pPr>
        <w:keepNext w:val="0"/>
        <w:keepLines w:val="0"/>
        <w:pageBreakBefore w:val="0"/>
        <w:numPr>
          <w:ilvl w:val="0"/>
          <w:numId w:val="5"/>
        </w:numPr>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财政拨款收入：指同级政府财政部门当年拨付的各类财政拨款。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二、上级补助收入：指事业单位从主管部门和上级单位取得的非财政补助收入。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三、事业收入：指事业单位开展专业业务活动及辅助活动取得的收入。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四、经营收入：指事业单位在专业业务活动及其辅助活动之外开展非独立核算经营活动取得的收入。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五、附属单位上缴收入：指事业单位取得附属独立核算单位根据有关规定上缴的收入。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六、其他收入：指除上述“财政拨款收入”“事业收入”“上级补助收入”“经营收入”“附属单位上缴收入”等以外的收入。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七、使用非财政拨款结余：指事业单位在当年的“财政拨款收入”“事业收入”“经营收入”“其他收入”等不足以安排当年支出的情况下，使用非同级财政拨款结余资金弥补本年度收支缺口。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八、年初结转和结余：指以前年度尚未完成、结转到本年按有关规定继续使用的资金，或项目已完成等产生的结余资金。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九、结余分配：指事业单位缴纳企业所得税以及从非财政拨款结余或经营结余中提取各类结余的情况。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十、年末结转和结余：指本年度或以前年度预算安排、因客观条件发生变化无法按原计划实施，需要延迟到以后年度按有关规定继续使用的资金（不包括事业单位非财政拨款结余和专用结余）。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十一、基本支出：指为保障机构正常运转、完成日常工作任务而发生的人员支出和公用支出。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十二、项目支出：指在基本支出之外为完成特定行政任务和事业发展目标所发生的支出。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十三、经营支出：指事业单位在专业业务活动及其辅助活动之外开展非独立核算经营活动发生的支出。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十四、“三公”经费：纳入本级财政预决算管理的“三公”经费，是指用一般公共预算财政拨款、政府性基金预算财政拨款及国有资本经营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及燃料费、维修费、过路过桥费、保险费、安全奖励费用等支出；公务接待费反映单位按规定开支的各类公务接待（含外宾接待）费用。</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十五、机关运行经费：为保障行政单位（含参照公务员法管理的事业单位）运行使用一般公共预算财政拨款安排的基本支出经费用于购买货物和服务的各项资金，包括办公及印刷费、邮电费、差旅费、会议费、福利费、日常维修费、专用材料及一般设备购置费、办公用房水电费、办公用房取暖费、办公用房物业管理费、公务用车运行维护费以及其他费用等。</w:t>
      </w:r>
    </w:p>
    <w:p>
      <w:pPr>
        <w:keepNext w:val="0"/>
        <w:keepLines w:val="0"/>
        <w:pageBreakBefore w:val="0"/>
        <w:kinsoku/>
        <w:wordWrap/>
        <w:overflowPunct/>
        <w:topLinePunct w:val="0"/>
        <w:autoSpaceDE/>
        <w:autoSpaceDN/>
        <w:bidi w:val="0"/>
        <w:adjustRightInd/>
        <w:snapToGrid/>
        <w:spacing w:line="560" w:lineRule="exact"/>
        <w:textAlignment w:val="auto"/>
        <w:rPr>
          <w:color w:val="000000"/>
          <w:highlight w:val="none"/>
        </w:rPr>
      </w:pPr>
    </w:p>
    <w:p/>
    <w:sectPr>
      <w:footerReference r:id="rId3" w:type="default"/>
      <w:footerReference r:id="rId4" w:type="even"/>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5"/>
                            </w:rPr>
                          </w:pPr>
                          <w:r>
                            <w:rPr>
                              <w:rStyle w:val="5"/>
                            </w:rPr>
                            <w:t xml:space="preserve">— </w:t>
                          </w:r>
                          <w:r>
                            <w:fldChar w:fldCharType="begin"/>
                          </w:r>
                          <w:r>
                            <w:rPr>
                              <w:rStyle w:val="5"/>
                            </w:rPr>
                            <w:instrText xml:space="preserve"> PAGE  \* MERGEFORMAT </w:instrText>
                          </w:r>
                          <w:r>
                            <w:fldChar w:fldCharType="separate"/>
                          </w:r>
                          <w:r>
                            <w:rPr>
                              <w:rStyle w:val="5"/>
                            </w:rPr>
                            <w:t>1</w:t>
                          </w:r>
                          <w:r>
                            <w:fldChar w:fldCharType="end"/>
                          </w:r>
                          <w:r>
                            <w:rPr>
                              <w:rStyle w:val="5"/>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2"/>
                      <w:rPr>
                        <w:rStyle w:val="5"/>
                      </w:rPr>
                    </w:pPr>
                    <w:r>
                      <w:rPr>
                        <w:rStyle w:val="5"/>
                      </w:rPr>
                      <w:t xml:space="preserve">— </w:t>
                    </w:r>
                    <w:r>
                      <w:fldChar w:fldCharType="begin"/>
                    </w:r>
                    <w:r>
                      <w:rPr>
                        <w:rStyle w:val="5"/>
                      </w:rPr>
                      <w:instrText xml:space="preserve"> PAGE  \* MERGEFORMAT </w:instrText>
                    </w:r>
                    <w:r>
                      <w:fldChar w:fldCharType="separate"/>
                    </w:r>
                    <w:r>
                      <w:rPr>
                        <w:rStyle w:val="5"/>
                      </w:rPr>
                      <w:t>1</w:t>
                    </w:r>
                    <w:r>
                      <w:fldChar w:fldCharType="end"/>
                    </w:r>
                    <w:r>
                      <w:rPr>
                        <w:rStyle w:val="5"/>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FC2DCC"/>
    <w:multiLevelType w:val="singleLevel"/>
    <w:tmpl w:val="AFFC2DCC"/>
    <w:lvl w:ilvl="0" w:tentative="0">
      <w:start w:val="1"/>
      <w:numFmt w:val="chineseCounting"/>
      <w:suff w:val="nothing"/>
      <w:lvlText w:val="%1、"/>
      <w:lvlJc w:val="left"/>
      <w:rPr>
        <w:rFonts w:hint="eastAsia"/>
      </w:rPr>
    </w:lvl>
  </w:abstractNum>
  <w:abstractNum w:abstractNumId="1">
    <w:nsid w:val="65260D16"/>
    <w:multiLevelType w:val="singleLevel"/>
    <w:tmpl w:val="65260D16"/>
    <w:lvl w:ilvl="0" w:tentative="0">
      <w:start w:val="1"/>
      <w:numFmt w:val="chineseCounting"/>
      <w:suff w:val="nothing"/>
      <w:lvlText w:val="%1、"/>
      <w:lvlJc w:val="left"/>
    </w:lvl>
  </w:abstractNum>
  <w:abstractNum w:abstractNumId="2">
    <w:nsid w:val="65265C1F"/>
    <w:multiLevelType w:val="singleLevel"/>
    <w:tmpl w:val="65265C1F"/>
    <w:lvl w:ilvl="0" w:tentative="0">
      <w:start w:val="2"/>
      <w:numFmt w:val="decimal"/>
      <w:suff w:val="nothing"/>
      <w:lvlText w:val="%1."/>
      <w:lvlJc w:val="left"/>
    </w:lvl>
  </w:abstractNum>
  <w:abstractNum w:abstractNumId="3">
    <w:nsid w:val="65266920"/>
    <w:multiLevelType w:val="singleLevel"/>
    <w:tmpl w:val="65266920"/>
    <w:lvl w:ilvl="0" w:tentative="0">
      <w:start w:val="2"/>
      <w:numFmt w:val="chineseCounting"/>
      <w:suff w:val="nothing"/>
      <w:lvlText w:val="（%1）"/>
      <w:lvlJc w:val="left"/>
    </w:lvl>
  </w:abstractNum>
  <w:abstractNum w:abstractNumId="4">
    <w:nsid w:val="72109F8D"/>
    <w:multiLevelType w:val="singleLevel"/>
    <w:tmpl w:val="72109F8D"/>
    <w:lvl w:ilvl="0" w:tentative="0">
      <w:start w:val="7"/>
      <w:numFmt w:val="chineseCounting"/>
      <w:suff w:val="nothing"/>
      <w:lvlText w:val="%1、"/>
      <w:lvlJc w:val="left"/>
      <w:rPr>
        <w:rFonts w:hint="eastAsia"/>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29495C"/>
    <w:rsid w:val="7C2949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qFormat/>
    <w:uiPriority w:val="0"/>
  </w:style>
  <w:style w:type="paragraph" w:customStyle="1" w:styleId="6">
    <w:name w:val="WPSOffice手动目录 1"/>
    <w:qFormat/>
    <w:uiPriority w:val="0"/>
    <w:rPr>
      <w:rFonts w:ascii="Times New Roman" w:hAnsi="Times New Roman" w:eastAsia="宋体" w:cs="Times New Roman"/>
      <w:lang w:val="en-US" w:eastAsia="zh-CN" w:bidi="ar-SA"/>
    </w:rPr>
  </w:style>
  <w:style w:type="paragraph" w:customStyle="1" w:styleId="7">
    <w:name w:val="WPSOffice手动目录 2"/>
    <w:qFormat/>
    <w:uiPriority w:val="0"/>
    <w:pPr>
      <w:ind w:leftChars="200"/>
    </w:pPr>
    <w:rPr>
      <w:rFonts w:ascii="Times New Roman" w:hAnsi="Times New Roman" w:eastAsia="宋体" w:cs="Times New Roman"/>
      <w:lang w:val="en-US" w:eastAsia="zh-CN" w:bidi="ar-SA"/>
    </w:rPr>
  </w:style>
  <w:style w:type="paragraph" w:customStyle="1" w:styleId="8">
    <w:name w:val="列出段落1"/>
    <w:basedOn w:val="1"/>
    <w:qFormat/>
    <w:uiPriority w:val="34"/>
    <w:pPr>
      <w:ind w:firstLine="420" w:firstLineChars="200"/>
    </w:pPr>
    <w:rPr>
      <w:rFonts w:ascii="Calibri" w:hAnsi="Calibri" w:cs="黑体"/>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2023-10-25T03:43:00Z</dcterms:created>
  <dc:creator>adminstrator</dc:creator>
  <cp:lastModifiedBy>adminstrator</cp:lastModifiedBy>
  <dcterms:modified xsi:type="dcterms:W3CDTF">2023-10-25T03:44:51Z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