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黑体" w:hAnsi="ˎ̥" w:eastAsia="黑体"/>
          <w:color w:val="000000"/>
          <w:sz w:val="32"/>
          <w:szCs w:val="32"/>
          <w:highlight w:val="none"/>
          <w:lang w:val="en-US" w:eastAsia="zh-CN"/>
        </w:rPr>
      </w:pPr>
      <w:r>
        <w:rPr>
          <w:rFonts w:hint="eastAsia" w:ascii="黑体" w:hAnsi="ˎ̥" w:eastAsia="黑体"/>
          <w:color w:val="000000"/>
          <w:sz w:val="32"/>
          <w:szCs w:val="32"/>
          <w:highlight w:val="none"/>
          <w:lang w:eastAsia="zh-CN"/>
        </w:rPr>
        <w:t>附件</w:t>
      </w:r>
      <w:r>
        <w:rPr>
          <w:rFonts w:hint="eastAsia" w:ascii="黑体" w:hAnsi="ˎ̥" w:eastAsia="黑体"/>
          <w:color w:val="000000"/>
          <w:sz w:val="32"/>
          <w:szCs w:val="32"/>
          <w:highlight w:val="none"/>
          <w:lang w:val="en-US" w:eastAsia="zh-CN"/>
        </w:rPr>
        <w:t>2</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44"/>
          <w:szCs w:val="44"/>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44"/>
          <w:szCs w:val="44"/>
          <w:highlight w:val="none"/>
        </w:rPr>
      </w:pPr>
      <w:bookmarkStart w:id="119" w:name="_GoBack"/>
      <w:r>
        <w:rPr>
          <w:rFonts w:hint="eastAsia" w:ascii="黑体" w:hAnsi="ˎ̥" w:eastAsia="黑体"/>
          <w:color w:val="000000"/>
          <w:sz w:val="44"/>
          <w:szCs w:val="44"/>
          <w:highlight w:val="none"/>
          <w:lang w:eastAsia="zh-CN"/>
        </w:rPr>
        <w:t>三亚市健康教育所</w:t>
      </w:r>
      <w:r>
        <w:rPr>
          <w:rFonts w:hint="eastAsia" w:ascii="黑体" w:hAnsi="ˎ̥" w:eastAsia="黑体"/>
          <w:color w:val="000000"/>
          <w:sz w:val="44"/>
          <w:szCs w:val="44"/>
          <w:highlight w:val="none"/>
        </w:rPr>
        <w:t>2022年度部门</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44"/>
          <w:szCs w:val="44"/>
          <w:highlight w:val="none"/>
        </w:rPr>
      </w:pPr>
      <w:r>
        <w:rPr>
          <w:rFonts w:hint="eastAsia" w:ascii="黑体" w:hAnsi="ˎ̥" w:eastAsia="黑体"/>
          <w:color w:val="000000"/>
          <w:sz w:val="44"/>
          <w:szCs w:val="44"/>
          <w:highlight w:val="none"/>
        </w:rPr>
        <w:t>决算公开</w:t>
      </w:r>
      <w:r>
        <w:rPr>
          <w:rFonts w:ascii="黑体" w:hAnsi="ˎ̥" w:eastAsia="黑体"/>
          <w:color w:val="000000"/>
          <w:sz w:val="44"/>
          <w:szCs w:val="44"/>
          <w:highlight w:val="none"/>
        </w:rPr>
        <w:t>报告</w:t>
      </w:r>
    </w:p>
    <w:bookmarkEnd w:id="119"/>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b/>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sz w:val="44"/>
          <w:szCs w:val="44"/>
          <w:highlight w:val="none"/>
        </w:rPr>
      </w:pPr>
      <w:bookmarkStart w:id="0" w:name="_Toc11440_WPSOffice_Type2"/>
      <w:r>
        <w:rPr>
          <w:rFonts w:hint="eastAsia" w:ascii="黑体" w:hAnsi="黑体" w:eastAsia="黑体" w:cs="黑体"/>
          <w:color w:val="000000"/>
          <w:sz w:val="44"/>
          <w:szCs w:val="44"/>
          <w:highlight w:val="none"/>
        </w:rPr>
        <w:t>目  录</w:t>
      </w:r>
    </w:p>
    <w:p>
      <w:pPr>
        <w:pStyle w:val="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color w:val="000000"/>
          <w:sz w:val="32"/>
          <w:szCs w:val="32"/>
          <w:highlight w:val="none"/>
        </w:rPr>
      </w:pPr>
      <w:r>
        <w:rPr>
          <w:color w:val="000000"/>
          <w:sz w:val="32"/>
          <w:szCs w:val="32"/>
          <w:highlight w:val="none"/>
        </w:rPr>
        <w:fldChar w:fldCharType="begin"/>
      </w:r>
      <w:r>
        <w:rPr>
          <w:color w:val="000000"/>
          <w:sz w:val="32"/>
          <w:szCs w:val="32"/>
          <w:highlight w:val="none"/>
        </w:rPr>
        <w:instrText xml:space="preserve"> HYPERLINK \l _Toc1704_WPSOffice_Level1 </w:instrText>
      </w:r>
      <w:r>
        <w:rPr>
          <w:color w:val="000000"/>
          <w:sz w:val="32"/>
          <w:szCs w:val="32"/>
          <w:highlight w:val="none"/>
        </w:rPr>
        <w:fldChar w:fldCharType="separate"/>
      </w:r>
      <w:r>
        <w:rPr>
          <w:rFonts w:hint="eastAsia" w:ascii="黑体" w:hAnsi="ˎ̥" w:eastAsia="黑体"/>
          <w:color w:val="000000"/>
          <w:sz w:val="32"/>
          <w:szCs w:val="32"/>
          <w:highlight w:val="none"/>
        </w:rPr>
        <w:t>第一部分 基本情况</w:t>
      </w:r>
      <w:r>
        <w:rPr>
          <w:color w:val="000000"/>
          <w:sz w:val="32"/>
          <w:szCs w:val="32"/>
          <w:highlight w:val="none"/>
        </w:rPr>
        <w:tab/>
      </w:r>
      <w:r>
        <w:rPr>
          <w:rFonts w:hint="eastAsia"/>
          <w:color w:val="000000"/>
          <w:sz w:val="32"/>
          <w:szCs w:val="32"/>
          <w:highlight w:val="none"/>
          <w:lang w:val="en-US" w:eastAsia="zh-CN"/>
        </w:rPr>
        <w:t>2</w:t>
      </w:r>
      <w:r>
        <w:rPr>
          <w:color w:val="000000"/>
          <w:sz w:val="32"/>
          <w:szCs w:val="32"/>
          <w:highlight w:val="none"/>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_Toc20274_WPSOffice_Level2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color w:val="000000"/>
          <w:sz w:val="32"/>
          <w:szCs w:val="32"/>
          <w:highlight w:val="none"/>
        </w:rPr>
        <w:t>一、部门</w:t>
      </w:r>
      <w:r>
        <w:rPr>
          <w:rFonts w:hint="eastAsia" w:ascii="仿宋" w:hAnsi="仿宋" w:eastAsia="仿宋" w:cs="仿宋"/>
          <w:color w:val="000000"/>
          <w:sz w:val="32"/>
          <w:szCs w:val="32"/>
          <w:highlight w:val="none"/>
          <w:lang w:eastAsia="zh-CN"/>
        </w:rPr>
        <w:t>（单位）</w:t>
      </w:r>
      <w:r>
        <w:rPr>
          <w:rFonts w:hint="eastAsia" w:ascii="仿宋" w:hAnsi="仿宋" w:eastAsia="仿宋" w:cs="仿宋"/>
          <w:color w:val="000000"/>
          <w:sz w:val="32"/>
          <w:szCs w:val="32"/>
          <w:highlight w:val="none"/>
        </w:rPr>
        <w:t>职责</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2</w:t>
      </w:r>
      <w:r>
        <w:rPr>
          <w:rFonts w:hint="eastAsia" w:ascii="仿宋" w:hAnsi="仿宋" w:eastAsia="仿宋" w:cs="仿宋"/>
          <w:color w:val="000000"/>
          <w:sz w:val="32"/>
          <w:szCs w:val="32"/>
          <w:highlight w:val="none"/>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_Toc4833_WPSOffice_Level2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color w:val="000000"/>
          <w:sz w:val="32"/>
          <w:szCs w:val="32"/>
          <w:highlight w:val="none"/>
        </w:rPr>
        <w:t>二、机构设置</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rPr>
        <w:fldChar w:fldCharType="end"/>
      </w:r>
      <w:r>
        <w:rPr>
          <w:rFonts w:hint="eastAsia" w:ascii="仿宋" w:hAnsi="仿宋" w:eastAsia="仿宋" w:cs="仿宋"/>
          <w:color w:val="000000"/>
          <w:sz w:val="32"/>
          <w:szCs w:val="32"/>
          <w:highlight w:val="none"/>
          <w:lang w:val="en-US" w:eastAsia="zh-CN"/>
        </w:rPr>
        <w:t>3</w:t>
      </w:r>
    </w:p>
    <w:p>
      <w:pPr>
        <w:pStyle w:val="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color w:val="000000"/>
          <w:sz w:val="32"/>
          <w:szCs w:val="32"/>
          <w:highlight w:val="none"/>
        </w:rPr>
      </w:pPr>
      <w:r>
        <w:rPr>
          <w:color w:val="000000"/>
          <w:sz w:val="32"/>
          <w:szCs w:val="32"/>
          <w:highlight w:val="none"/>
        </w:rPr>
        <w:fldChar w:fldCharType="begin"/>
      </w:r>
      <w:r>
        <w:rPr>
          <w:color w:val="000000"/>
          <w:sz w:val="32"/>
          <w:szCs w:val="32"/>
          <w:highlight w:val="none"/>
        </w:rPr>
        <w:instrText xml:space="preserve"> HYPERLINK \l _Toc28253_WPSOffice_Level1 </w:instrText>
      </w:r>
      <w:r>
        <w:rPr>
          <w:color w:val="000000"/>
          <w:sz w:val="32"/>
          <w:szCs w:val="32"/>
          <w:highlight w:val="none"/>
        </w:rPr>
        <w:fldChar w:fldCharType="separate"/>
      </w:r>
      <w:r>
        <w:rPr>
          <w:rFonts w:hint="eastAsia" w:ascii="黑体" w:hAnsi="ˎ̥" w:eastAsia="黑体"/>
          <w:color w:val="000000"/>
          <w:sz w:val="32"/>
          <w:szCs w:val="32"/>
          <w:highlight w:val="none"/>
        </w:rPr>
        <w:t>第二部分  202</w:t>
      </w:r>
      <w:r>
        <w:rPr>
          <w:rFonts w:ascii="黑体" w:hAnsi="ˎ̥" w:eastAsia="黑体"/>
          <w:color w:val="000000"/>
          <w:sz w:val="32"/>
          <w:szCs w:val="32"/>
          <w:highlight w:val="none"/>
        </w:rPr>
        <w:t>2</w:t>
      </w:r>
      <w:r>
        <w:rPr>
          <w:rFonts w:hint="eastAsia" w:ascii="黑体" w:hAnsi="ˎ̥" w:eastAsia="黑体"/>
          <w:color w:val="000000"/>
          <w:sz w:val="32"/>
          <w:szCs w:val="32"/>
          <w:highlight w:val="none"/>
        </w:rPr>
        <w:t>年度部门决算公开表</w:t>
      </w:r>
      <w:r>
        <w:rPr>
          <w:color w:val="000000"/>
          <w:sz w:val="32"/>
          <w:szCs w:val="32"/>
          <w:highlight w:val="none"/>
        </w:rPr>
        <w:tab/>
      </w:r>
      <w:r>
        <w:rPr>
          <w:color w:val="000000"/>
          <w:sz w:val="32"/>
          <w:szCs w:val="32"/>
          <w:highlight w:val="none"/>
        </w:rPr>
        <w:fldChar w:fldCharType="end"/>
      </w:r>
      <w:r>
        <w:rPr>
          <w:rFonts w:hint="eastAsia"/>
          <w:color w:val="000000"/>
          <w:sz w:val="32"/>
          <w:szCs w:val="32"/>
          <w:highlight w:val="none"/>
          <w:lang w:val="en-US" w:eastAsia="zh-CN"/>
        </w:rPr>
        <w:t>3</w:t>
      </w:r>
    </w:p>
    <w:p>
      <w:pPr>
        <w:pStyle w:val="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color w:val="000000"/>
          <w:sz w:val="32"/>
          <w:szCs w:val="32"/>
          <w:highlight w:val="none"/>
        </w:rPr>
      </w:pPr>
      <w:r>
        <w:rPr>
          <w:color w:val="000000"/>
          <w:sz w:val="32"/>
          <w:szCs w:val="32"/>
          <w:highlight w:val="none"/>
        </w:rPr>
        <w:fldChar w:fldCharType="begin"/>
      </w:r>
      <w:r>
        <w:rPr>
          <w:color w:val="000000"/>
          <w:sz w:val="32"/>
          <w:szCs w:val="32"/>
          <w:highlight w:val="none"/>
        </w:rPr>
        <w:instrText xml:space="preserve"> HYPERLINK \l _Toc27590_WPSOffice_Level1 </w:instrText>
      </w:r>
      <w:r>
        <w:rPr>
          <w:color w:val="000000"/>
          <w:sz w:val="32"/>
          <w:szCs w:val="32"/>
          <w:highlight w:val="none"/>
        </w:rPr>
        <w:fldChar w:fldCharType="separate"/>
      </w:r>
      <w:r>
        <w:rPr>
          <w:rFonts w:hint="eastAsia" w:ascii="黑体" w:hAnsi="黑体" w:eastAsia="黑体" w:cs="黑体"/>
          <w:color w:val="000000"/>
          <w:sz w:val="32"/>
          <w:szCs w:val="32"/>
          <w:highlight w:val="none"/>
        </w:rPr>
        <w:t>第三部分</w:t>
      </w:r>
      <w:r>
        <w:rPr>
          <w:rFonts w:hint="eastAsia"/>
          <w:color w:val="000000"/>
          <w:sz w:val="32"/>
          <w:szCs w:val="32"/>
          <w:highlight w:val="none"/>
        </w:rPr>
        <w:t xml:space="preserve">  </w:t>
      </w:r>
      <w:r>
        <w:rPr>
          <w:rFonts w:hint="eastAsia" w:ascii="黑体" w:hAnsi="ˎ̥" w:eastAsia="黑体"/>
          <w:color w:val="000000"/>
          <w:sz w:val="32"/>
          <w:szCs w:val="32"/>
          <w:highlight w:val="none"/>
        </w:rPr>
        <w:t>2022年度部门决算情况说明</w:t>
      </w:r>
      <w:r>
        <w:rPr>
          <w:color w:val="000000"/>
          <w:sz w:val="32"/>
          <w:szCs w:val="32"/>
          <w:highlight w:val="none"/>
        </w:rPr>
        <w:tab/>
      </w:r>
      <w:r>
        <w:rPr>
          <w:color w:val="000000"/>
          <w:sz w:val="32"/>
          <w:szCs w:val="32"/>
          <w:highlight w:val="none"/>
        </w:rPr>
        <w:fldChar w:fldCharType="end"/>
      </w:r>
      <w:r>
        <w:rPr>
          <w:rFonts w:hint="eastAsia"/>
          <w:color w:val="000000"/>
          <w:sz w:val="32"/>
          <w:szCs w:val="32"/>
          <w:highlight w:val="none"/>
          <w:lang w:val="en-US" w:eastAsia="zh-CN"/>
        </w:rPr>
        <w:t>4</w:t>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_Toc21737_WPSOffice_Level2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一、收入支出总体情况说明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rPr>
        <w:fldChar w:fldCharType="end"/>
      </w:r>
      <w:r>
        <w:rPr>
          <w:rFonts w:hint="eastAsia" w:ascii="仿宋" w:hAnsi="仿宋" w:eastAsia="仿宋" w:cs="仿宋"/>
          <w:color w:val="000000"/>
          <w:sz w:val="32"/>
          <w:szCs w:val="32"/>
          <w:highlight w:val="none"/>
          <w:lang w:val="en-US" w:eastAsia="zh-CN"/>
        </w:rPr>
        <w:t>4</w:t>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二、收入决算情况说明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rPr>
        <w:fldChar w:fldCharType="end"/>
      </w:r>
      <w:r>
        <w:rPr>
          <w:rFonts w:hint="eastAsia" w:ascii="仿宋" w:hAnsi="仿宋" w:eastAsia="仿宋" w:cs="仿宋"/>
          <w:color w:val="000000"/>
          <w:sz w:val="32"/>
          <w:szCs w:val="32"/>
          <w:highlight w:val="none"/>
          <w:lang w:val="en-US" w:eastAsia="zh-CN"/>
        </w:rPr>
        <w:t>4</w:t>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三、支出决算情况说明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4</w:t>
      </w:r>
      <w:r>
        <w:rPr>
          <w:rFonts w:hint="eastAsia" w:ascii="仿宋" w:hAnsi="仿宋" w:eastAsia="仿宋" w:cs="仿宋"/>
          <w:color w:val="000000"/>
          <w:sz w:val="32"/>
          <w:szCs w:val="32"/>
          <w:highlight w:val="none"/>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四、财政拨款收入支出决算情况说明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rPr>
        <w:fldChar w:fldCharType="end"/>
      </w:r>
      <w:r>
        <w:rPr>
          <w:rFonts w:hint="eastAsia" w:ascii="仿宋" w:hAnsi="仿宋" w:eastAsia="仿宋" w:cs="仿宋"/>
          <w:color w:val="000000"/>
          <w:sz w:val="32"/>
          <w:szCs w:val="32"/>
          <w:highlight w:val="none"/>
          <w:lang w:val="en-US" w:eastAsia="zh-CN"/>
        </w:rPr>
        <w:t>5</w:t>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五、一般公共预算财政拨款支出决算情况说明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5</w:t>
      </w:r>
      <w:r>
        <w:rPr>
          <w:rFonts w:hint="eastAsia" w:ascii="仿宋" w:hAnsi="仿宋" w:eastAsia="仿宋" w:cs="仿宋"/>
          <w:color w:val="000000"/>
          <w:sz w:val="32"/>
          <w:szCs w:val="32"/>
          <w:highlight w:val="none"/>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六、一般公共预算财政拨款基本支出决算情况说明</w:t>
      </w:r>
      <w:r>
        <w:rPr>
          <w:rFonts w:hint="eastAsia" w:ascii="仿宋" w:hAnsi="仿宋" w:eastAsia="仿宋" w:cs="仿宋"/>
          <w:color w:val="000000"/>
          <w:sz w:val="32"/>
          <w:szCs w:val="32"/>
          <w:highlight w:val="none"/>
        </w:rPr>
        <w:fldChar w:fldCharType="end"/>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8</w:t>
      </w:r>
    </w:p>
    <w:p>
      <w:pPr>
        <w:pStyle w:val="7"/>
        <w:keepNext w:val="0"/>
        <w:keepLines w:val="0"/>
        <w:pageBreakBefore w:val="0"/>
        <w:numPr>
          <w:ilvl w:val="0"/>
          <w:numId w:val="1"/>
        </w:numPr>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bCs/>
          <w:color w:val="000000"/>
          <w:sz w:val="32"/>
          <w:szCs w:val="32"/>
          <w:highlight w:val="none"/>
        </w:rPr>
        <w:t>政府性基金预算财政拨款支出决算情况说明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8</w:t>
      </w:r>
    </w:p>
    <w:p>
      <w:pPr>
        <w:pStyle w:val="7"/>
        <w:keepNext w:val="0"/>
        <w:keepLines w:val="0"/>
        <w:pageBreakBefore w:val="0"/>
        <w:numPr>
          <w:ilvl w:val="0"/>
          <w:numId w:val="1"/>
        </w:numPr>
        <w:tabs>
          <w:tab w:val="right" w:leader="dot" w:pos="8306"/>
        </w:tabs>
        <w:kinsoku/>
        <w:wordWrap/>
        <w:overflowPunct/>
        <w:topLinePunct w:val="0"/>
        <w:autoSpaceDE/>
        <w:autoSpaceDN/>
        <w:bidi w:val="0"/>
        <w:adjustRightInd/>
        <w:snapToGrid/>
        <w:spacing w:line="560" w:lineRule="exact"/>
        <w:ind w:leftChars="0"/>
        <w:textAlignment w:val="auto"/>
        <w:rPr>
          <w:rFonts w:hint="default" w:ascii="仿宋" w:hAnsi="仿宋" w:eastAsia="仿宋" w:cs="仿宋"/>
          <w:color w:val="000000"/>
          <w:sz w:val="32"/>
          <w:szCs w:val="32"/>
          <w:highlight w:val="none"/>
          <w:lang w:val="en-US"/>
        </w:rPr>
      </w:pPr>
      <w:r>
        <w:rPr>
          <w:rFonts w:hint="eastAsia" w:ascii="仿宋" w:hAnsi="仿宋" w:eastAsia="仿宋" w:cs="仿宋"/>
          <w:bCs/>
          <w:color w:val="000000"/>
          <w:sz w:val="32"/>
          <w:szCs w:val="32"/>
          <w:highlight w:val="none"/>
        </w:rPr>
        <w:t>国有资本经营预算财政拨款支出决算情况说明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9</w:t>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九、财政拨款“三公”经费支出决算情况说明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9</w:t>
      </w:r>
      <w:r>
        <w:rPr>
          <w:rFonts w:hint="eastAsia" w:ascii="仿宋" w:hAnsi="仿宋" w:eastAsia="仿宋" w:cs="仿宋"/>
          <w:color w:val="000000"/>
          <w:sz w:val="32"/>
          <w:szCs w:val="32"/>
          <w:highlight w:val="none"/>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十、预算绩效情况说明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rPr>
        <w:fldChar w:fldCharType="end"/>
      </w:r>
      <w:r>
        <w:rPr>
          <w:rFonts w:hint="eastAsia" w:ascii="仿宋" w:hAnsi="仿宋" w:eastAsia="仿宋" w:cs="仿宋"/>
          <w:color w:val="000000"/>
          <w:sz w:val="32"/>
          <w:szCs w:val="32"/>
          <w:highlight w:val="none"/>
        </w:rPr>
        <w:t>1</w:t>
      </w:r>
      <w:r>
        <w:rPr>
          <w:rFonts w:hint="eastAsia" w:ascii="仿宋" w:hAnsi="仿宋" w:eastAsia="仿宋" w:cs="仿宋"/>
          <w:color w:val="000000"/>
          <w:sz w:val="32"/>
          <w:szCs w:val="32"/>
          <w:highlight w:val="none"/>
          <w:lang w:val="en-US" w:eastAsia="zh-CN"/>
        </w:rPr>
        <w:t>0</w:t>
      </w:r>
    </w:p>
    <w:p>
      <w:pPr>
        <w:pStyle w:val="7"/>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lang w:eastAsia="zh-CN"/>
        </w:rPr>
      </w:pPr>
      <w:r>
        <w:rPr>
          <w:rFonts w:hint="eastAsia" w:ascii="仿宋" w:hAnsi="仿宋" w:eastAsia="仿宋" w:cs="仿宋"/>
          <w:bCs/>
          <w:color w:val="000000"/>
          <w:sz w:val="32"/>
          <w:szCs w:val="32"/>
          <w:highlight w:val="none"/>
        </w:rPr>
        <w:t>十一、其他重要事项情况说明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rPr>
        <w:t>1</w:t>
      </w:r>
      <w:r>
        <w:rPr>
          <w:rFonts w:hint="eastAsia" w:ascii="仿宋" w:hAnsi="仿宋" w:eastAsia="仿宋" w:cs="仿宋"/>
          <w:color w:val="000000"/>
          <w:sz w:val="32"/>
          <w:szCs w:val="32"/>
          <w:highlight w:val="none"/>
          <w:lang w:val="en-US" w:eastAsia="zh-CN"/>
        </w:rPr>
        <w:t>0</w:t>
      </w:r>
    </w:p>
    <w:p>
      <w:pPr>
        <w:pStyle w:val="6"/>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黑体" w:hAnsi="ˎ̥" w:eastAsia="宋体"/>
          <w:b/>
          <w:color w:val="000000"/>
          <w:sz w:val="32"/>
          <w:szCs w:val="32"/>
          <w:highlight w:val="none"/>
          <w:lang w:eastAsia="zh-CN"/>
        </w:rPr>
      </w:pPr>
      <w:r>
        <w:rPr>
          <w:color w:val="000000"/>
          <w:sz w:val="32"/>
          <w:szCs w:val="32"/>
          <w:highlight w:val="none"/>
        </w:rPr>
        <w:fldChar w:fldCharType="begin"/>
      </w:r>
      <w:r>
        <w:rPr>
          <w:color w:val="000000"/>
          <w:sz w:val="32"/>
          <w:szCs w:val="32"/>
          <w:highlight w:val="none"/>
        </w:rPr>
        <w:instrText xml:space="preserve"> HYPERLINK \l _Toc15425_WPSOffice_Level1 </w:instrText>
      </w:r>
      <w:r>
        <w:rPr>
          <w:color w:val="000000"/>
          <w:sz w:val="32"/>
          <w:szCs w:val="32"/>
          <w:highlight w:val="none"/>
        </w:rPr>
        <w:fldChar w:fldCharType="separate"/>
      </w:r>
      <w:r>
        <w:rPr>
          <w:rFonts w:hint="eastAsia" w:ascii="黑体" w:hAnsi="ˎ̥" w:eastAsia="黑体"/>
          <w:color w:val="000000"/>
          <w:sz w:val="32"/>
          <w:szCs w:val="32"/>
          <w:highlight w:val="none"/>
        </w:rPr>
        <w:t>第四部分  名词解释</w:t>
      </w:r>
      <w:r>
        <w:rPr>
          <w:color w:val="000000"/>
          <w:sz w:val="32"/>
          <w:szCs w:val="32"/>
          <w:highlight w:val="none"/>
        </w:rPr>
        <w:tab/>
      </w:r>
      <w:bookmarkStart w:id="1" w:name="_Toc15425_WPSOffice_Level1Page"/>
      <w:r>
        <w:rPr>
          <w:color w:val="000000"/>
          <w:sz w:val="32"/>
          <w:szCs w:val="32"/>
          <w:highlight w:val="none"/>
        </w:rPr>
        <w:t>1</w:t>
      </w:r>
      <w:bookmarkEnd w:id="1"/>
      <w:r>
        <w:rPr>
          <w:color w:val="000000"/>
          <w:sz w:val="32"/>
          <w:szCs w:val="32"/>
          <w:highlight w:val="none"/>
        </w:rPr>
        <w:fldChar w:fldCharType="end"/>
      </w:r>
      <w:bookmarkEnd w:id="0"/>
      <w:r>
        <w:rPr>
          <w:rFonts w:hint="eastAsia"/>
          <w:color w:val="000000"/>
          <w:sz w:val="32"/>
          <w:szCs w:val="32"/>
          <w:highlight w:val="none"/>
          <w:lang w:val="en-US" w:eastAsia="zh-CN"/>
        </w:rPr>
        <w:t>1</w:t>
      </w:r>
    </w:p>
    <w:p>
      <w:pPr>
        <w:jc w:val="center"/>
        <w:rPr>
          <w:rFonts w:hint="eastAsia" w:ascii="黑体" w:hAnsi="ˎ̥" w:eastAsia="黑体"/>
          <w:color w:val="000000"/>
          <w:sz w:val="32"/>
          <w:szCs w:val="32"/>
          <w:highlight w:val="none"/>
        </w:rPr>
      </w:pPr>
      <w:bookmarkStart w:id="2" w:name="_Toc10720_WPSOffice_Level1"/>
      <w:bookmarkStart w:id="3" w:name="_Toc1704_WPSOffice_Level1"/>
      <w:bookmarkStart w:id="4" w:name="_Toc22941_WPSOffice_Level1"/>
      <w:bookmarkStart w:id="5" w:name="_Toc23465_WPSOffice_Level1"/>
      <w:bookmarkStart w:id="6" w:name="_Toc32433_WPSOffice_Level1"/>
      <w:bookmarkStart w:id="7" w:name="_Toc10049_WPSOffice_Level1"/>
      <w:bookmarkStart w:id="8" w:name="_Toc24238_WPSOffice_Level2"/>
      <w:bookmarkStart w:id="9" w:name="_Toc20274_WPSOffice_Level2"/>
      <w:bookmarkStart w:id="10" w:name="_Toc26580_WPSOffice_Level2"/>
      <w:bookmarkStart w:id="11" w:name="_Toc14159_WPSOffice_Level2"/>
      <w:bookmarkStart w:id="12" w:name="_Toc32622_WPSOffice_Level2"/>
      <w:bookmarkStart w:id="13" w:name="_Toc20205_WPSOffice_Level2"/>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r>
        <w:rPr>
          <w:rFonts w:hint="eastAsia" w:ascii="黑体" w:hAnsi="ˎ̥" w:eastAsia="黑体"/>
          <w:color w:val="000000"/>
          <w:sz w:val="32"/>
          <w:szCs w:val="32"/>
          <w:highlight w:val="none"/>
        </w:rPr>
        <w:br w:type="page"/>
      </w:r>
      <w:r>
        <w:rPr>
          <w:rFonts w:hint="eastAsia" w:ascii="黑体" w:hAnsi="ˎ̥" w:eastAsia="黑体"/>
          <w:color w:val="000000"/>
          <w:sz w:val="32"/>
          <w:szCs w:val="32"/>
          <w:highlight w:val="none"/>
        </w:rPr>
        <w:t xml:space="preserve">第一部分  </w:t>
      </w:r>
      <w:bookmarkEnd w:id="2"/>
      <w:bookmarkEnd w:id="3"/>
      <w:bookmarkEnd w:id="4"/>
      <w:bookmarkEnd w:id="5"/>
      <w:bookmarkEnd w:id="6"/>
      <w:bookmarkEnd w:id="7"/>
      <w:r>
        <w:rPr>
          <w:rFonts w:hint="eastAsia" w:ascii="黑体" w:hAnsi="ˎ̥" w:eastAsia="黑体"/>
          <w:color w:val="000000"/>
          <w:sz w:val="32"/>
          <w:szCs w:val="32"/>
          <w:highlight w:val="none"/>
        </w:rPr>
        <w:t>基本情况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一、</w:t>
      </w:r>
      <w:bookmarkEnd w:id="8"/>
      <w:r>
        <w:rPr>
          <w:rFonts w:hint="eastAsia" w:ascii="黑体" w:hAnsi="黑体" w:eastAsia="黑体" w:cs="黑体"/>
          <w:color w:val="000000"/>
          <w:sz w:val="32"/>
          <w:szCs w:val="32"/>
          <w:highlight w:val="none"/>
        </w:rPr>
        <w:t>单位职责</w:t>
      </w:r>
      <w:bookmarkEnd w:id="9"/>
      <w:bookmarkEnd w:id="10"/>
      <w:bookmarkEnd w:id="11"/>
      <w:bookmarkEnd w:id="12"/>
      <w:bookmarkEnd w:id="13"/>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left"/>
        <w:textAlignment w:val="auto"/>
        <w:rPr>
          <w:rFonts w:ascii="Times New Roman" w:hAnsi="Times New Roman" w:eastAsia="仿宋_GB2312"/>
          <w:color w:val="000000"/>
          <w:sz w:val="32"/>
          <w:szCs w:val="32"/>
        </w:rPr>
      </w:pPr>
      <w:bookmarkStart w:id="14" w:name="_Toc17796_WPSOffice_Level2"/>
      <w:bookmarkStart w:id="15" w:name="_Toc4833_WPSOffice_Level2"/>
      <w:bookmarkStart w:id="16" w:name="_Toc24059_WPSOffice_Level2"/>
      <w:bookmarkStart w:id="17" w:name="_Toc6572_WPSOffice_Level2"/>
      <w:bookmarkStart w:id="18" w:name="_Toc24474_WPSOffice_Level2"/>
      <w:r>
        <w:rPr>
          <w:rFonts w:ascii="仿宋_GB2312" w:hAnsi="Times New Roman" w:eastAsia="仿宋_GB2312"/>
          <w:color w:val="000000"/>
          <w:sz w:val="32"/>
          <w:szCs w:val="32"/>
        </w:rPr>
        <w:t>（一）</w:t>
      </w:r>
      <w:r>
        <w:rPr>
          <w:rFonts w:hint="eastAsia" w:ascii="仿宋_GB2312" w:hAnsi="Times New Roman" w:eastAsia="仿宋_GB2312"/>
          <w:color w:val="000000"/>
          <w:sz w:val="32"/>
          <w:szCs w:val="32"/>
        </w:rPr>
        <w:t>组织开展全市健康教育和计生宣传教育理论、方法、策略与政策研究和健康教育监测评估，为政府制订相关的法律、法规、部门规章和技术规范等提供咨询及政策建议</w:t>
      </w:r>
      <w:r>
        <w:rPr>
          <w:rFonts w:ascii="仿宋_GB2312" w:hAnsi="Times New Roman" w:eastAsia="仿宋_GB2312"/>
          <w:color w:val="000000"/>
          <w:sz w:val="32"/>
          <w:szCs w:val="32"/>
        </w:rPr>
        <w:t>。</w:t>
      </w:r>
    </w:p>
    <w:p>
      <w:pPr>
        <w:keepNext w:val="0"/>
        <w:keepLines w:val="0"/>
        <w:pageBreakBefore w:val="0"/>
        <w:widowControl w:val="0"/>
        <w:kinsoku/>
        <w:wordWrap/>
        <w:overflowPunct/>
        <w:topLinePunct w:val="0"/>
        <w:autoSpaceDE w:val="0"/>
        <w:autoSpaceDN/>
        <w:bidi w:val="0"/>
        <w:adjustRightInd/>
        <w:snapToGrid/>
        <w:spacing w:line="560" w:lineRule="exact"/>
        <w:jc w:val="left"/>
        <w:textAlignment w:val="auto"/>
        <w:rPr>
          <w:rFonts w:ascii="Times New Roman" w:hAnsi="Times New Roman" w:eastAsia="仿宋_GB2312"/>
          <w:color w:val="000000"/>
          <w:sz w:val="32"/>
          <w:szCs w:val="32"/>
        </w:rPr>
      </w:pPr>
      <w:r>
        <w:rPr>
          <w:rFonts w:hint="eastAsia" w:ascii="仿宋_GB2312" w:hAnsi="Times New Roman" w:eastAsia="仿宋_GB2312"/>
          <w:color w:val="000000"/>
          <w:sz w:val="32"/>
          <w:szCs w:val="32"/>
        </w:rPr>
        <w:t xml:space="preserve">  </w:t>
      </w:r>
      <w:r>
        <w:rPr>
          <w:rFonts w:hint="eastAsia" w:ascii="仿宋_GB2312" w:hAnsi="Times New Roman" w:eastAsia="仿宋_GB2312"/>
          <w:color w:val="000000"/>
          <w:sz w:val="32"/>
          <w:szCs w:val="32"/>
          <w:lang w:val="en-US" w:eastAsia="zh-CN"/>
        </w:rPr>
        <w:t xml:space="preserve"> </w:t>
      </w:r>
      <w:r>
        <w:rPr>
          <w:rFonts w:ascii="仿宋_GB2312" w:hAnsi="Times New Roman" w:eastAsia="仿宋_GB2312"/>
          <w:color w:val="000000"/>
          <w:sz w:val="32"/>
          <w:szCs w:val="32"/>
        </w:rPr>
        <w:t>（二）</w:t>
      </w:r>
      <w:r>
        <w:rPr>
          <w:rFonts w:hint="eastAsia" w:ascii="Times New Roman" w:hAnsi="Times New Roman" w:eastAsia="仿宋_GB2312"/>
          <w:color w:val="000000"/>
          <w:sz w:val="32"/>
          <w:szCs w:val="32"/>
        </w:rPr>
        <w:t>负责全市健康教育和计生宣传教育的技术支持；负责拟订全市健康教育和计生宣传教育工作的技术规范，协助组织制定规划、计划和考核评估标准，并进行质量和效果评估。</w:t>
      </w:r>
    </w:p>
    <w:p>
      <w:pPr>
        <w:keepNext w:val="0"/>
        <w:keepLines w:val="0"/>
        <w:pageBreakBefore w:val="0"/>
        <w:widowControl w:val="0"/>
        <w:kinsoku/>
        <w:wordWrap/>
        <w:overflowPunct/>
        <w:topLinePunct w:val="0"/>
        <w:autoSpaceDE w:val="0"/>
        <w:autoSpaceDN/>
        <w:bidi w:val="0"/>
        <w:adjustRightInd/>
        <w:snapToGrid/>
        <w:spacing w:line="560" w:lineRule="exact"/>
        <w:jc w:val="left"/>
        <w:textAlignment w:val="auto"/>
        <w:rPr>
          <w:rFonts w:ascii="Times New Roman" w:hAnsi="Times New Roman" w:eastAsia="仿宋_GB2312"/>
          <w:color w:val="000000"/>
          <w:sz w:val="32"/>
          <w:szCs w:val="32"/>
        </w:rPr>
      </w:pPr>
      <w:r>
        <w:rPr>
          <w:rFonts w:hint="eastAsia" w:ascii="仿宋_GB2312" w:hAnsi="Times New Roman" w:eastAsia="仿宋_GB2312"/>
          <w:color w:val="000000"/>
          <w:sz w:val="32"/>
          <w:szCs w:val="32"/>
        </w:rPr>
        <w:t xml:space="preserve">  </w:t>
      </w:r>
      <w:r>
        <w:rPr>
          <w:rFonts w:hint="eastAsia" w:ascii="仿宋_GB2312" w:hAnsi="Times New Roman" w:eastAsia="仿宋_GB2312"/>
          <w:color w:val="000000"/>
          <w:sz w:val="32"/>
          <w:szCs w:val="32"/>
          <w:lang w:val="en-US" w:eastAsia="zh-CN"/>
        </w:rPr>
        <w:t xml:space="preserve"> </w:t>
      </w:r>
      <w:r>
        <w:rPr>
          <w:rFonts w:ascii="仿宋_GB2312" w:hAnsi="Times New Roman" w:eastAsia="仿宋_GB2312"/>
          <w:color w:val="000000"/>
          <w:sz w:val="32"/>
          <w:szCs w:val="32"/>
        </w:rPr>
        <w:t>（三）</w:t>
      </w:r>
      <w:r>
        <w:rPr>
          <w:rFonts w:hint="eastAsia" w:ascii="Times New Roman" w:hAnsi="Times New Roman" w:eastAsia="仿宋_GB2312"/>
          <w:color w:val="000000"/>
          <w:sz w:val="32"/>
          <w:szCs w:val="32"/>
        </w:rPr>
        <w:t>负责健全全市健康教育网络并组织开展各项健康教育和健康促进工作。</w:t>
      </w:r>
    </w:p>
    <w:p>
      <w:pPr>
        <w:keepNext w:val="0"/>
        <w:keepLines w:val="0"/>
        <w:pageBreakBefore w:val="0"/>
        <w:widowControl w:val="0"/>
        <w:kinsoku/>
        <w:wordWrap/>
        <w:overflowPunct/>
        <w:topLinePunct w:val="0"/>
        <w:autoSpaceDE w:val="0"/>
        <w:autoSpaceDN/>
        <w:bidi w:val="0"/>
        <w:adjustRightInd/>
        <w:snapToGrid/>
        <w:spacing w:line="560" w:lineRule="exact"/>
        <w:jc w:val="left"/>
        <w:textAlignment w:val="auto"/>
        <w:rPr>
          <w:rFonts w:ascii="Times New Roman" w:hAnsi="Times New Roman" w:eastAsia="仿宋_GB2312"/>
          <w:color w:val="000000"/>
          <w:sz w:val="32"/>
          <w:szCs w:val="32"/>
        </w:rPr>
      </w:pPr>
      <w:r>
        <w:rPr>
          <w:rFonts w:hint="eastAsia" w:ascii="仿宋_GB2312" w:hAnsi="Times New Roman" w:eastAsia="仿宋_GB2312"/>
          <w:color w:val="000000"/>
          <w:sz w:val="32"/>
          <w:szCs w:val="32"/>
        </w:rPr>
        <w:t xml:space="preserve"> </w:t>
      </w:r>
      <w:r>
        <w:rPr>
          <w:rFonts w:hint="eastAsia" w:ascii="仿宋_GB2312" w:hAnsi="Times New Roman" w:eastAsia="仿宋_GB2312"/>
          <w:color w:val="000000"/>
          <w:sz w:val="32"/>
          <w:szCs w:val="32"/>
          <w:lang w:val="en-US" w:eastAsia="zh-CN"/>
        </w:rPr>
        <w:t xml:space="preserve"> </w:t>
      </w:r>
      <w:r>
        <w:rPr>
          <w:rFonts w:hint="eastAsia" w:ascii="仿宋_GB2312" w:hAnsi="Times New Roman" w:eastAsia="仿宋_GB2312"/>
          <w:color w:val="000000"/>
          <w:sz w:val="32"/>
          <w:szCs w:val="32"/>
        </w:rPr>
        <w:t xml:space="preserve"> </w:t>
      </w:r>
      <w:r>
        <w:rPr>
          <w:rFonts w:ascii="仿宋_GB2312" w:hAnsi="Times New Roman" w:eastAsia="仿宋_GB2312"/>
          <w:color w:val="000000"/>
          <w:sz w:val="32"/>
          <w:szCs w:val="32"/>
        </w:rPr>
        <w:t>（四）</w:t>
      </w:r>
      <w:r>
        <w:rPr>
          <w:rFonts w:hint="eastAsia" w:ascii="Times New Roman" w:hAnsi="Times New Roman" w:eastAsia="仿宋_GB2312"/>
          <w:color w:val="000000"/>
          <w:sz w:val="32"/>
          <w:szCs w:val="32"/>
        </w:rPr>
        <w:t>指导各区开展城市社区、农村社区、医院、学校、机关企事业单位等行业和公共场所（重点场所）健康教育工作；指导各区开展突发公共卫生事件和应急事件的健康教育工作。</w:t>
      </w:r>
    </w:p>
    <w:p>
      <w:pPr>
        <w:keepNext w:val="0"/>
        <w:keepLines w:val="0"/>
        <w:pageBreakBefore w:val="0"/>
        <w:widowControl w:val="0"/>
        <w:kinsoku/>
        <w:wordWrap/>
        <w:overflowPunct/>
        <w:topLinePunct w:val="0"/>
        <w:autoSpaceDE w:val="0"/>
        <w:autoSpaceDN/>
        <w:bidi w:val="0"/>
        <w:adjustRightInd/>
        <w:snapToGrid/>
        <w:spacing w:line="560" w:lineRule="exact"/>
        <w:ind w:firstLine="320" w:firstLineChars="100"/>
        <w:jc w:val="left"/>
        <w:textAlignment w:val="auto"/>
        <w:rPr>
          <w:rFonts w:ascii="Times New Roman" w:hAnsi="Times New Roman" w:eastAsia="仿宋_GB2312"/>
          <w:color w:val="000000"/>
          <w:sz w:val="32"/>
          <w:szCs w:val="32"/>
        </w:rPr>
      </w:pPr>
      <w:r>
        <w:rPr>
          <w:rFonts w:ascii="仿宋_GB2312" w:hAnsi="Times New Roman" w:eastAsia="仿宋_GB2312"/>
          <w:color w:val="000000"/>
          <w:sz w:val="32"/>
          <w:szCs w:val="32"/>
        </w:rPr>
        <w:t>（五）</w:t>
      </w:r>
      <w:r>
        <w:rPr>
          <w:rFonts w:hint="eastAsia" w:ascii="Times New Roman" w:hAnsi="Times New Roman" w:eastAsia="仿宋_GB2312"/>
          <w:color w:val="000000"/>
          <w:sz w:val="32"/>
          <w:szCs w:val="32"/>
        </w:rPr>
        <w:t>组织开展健康教育和计生广播、电视专题栏目的制作和播出，负责全市健康教育和计生广播、电视专题栏目发展趋势的统计分析与对策研究；开展全市健康教育和计生图文宣传品的策划、开发与制作。</w:t>
      </w:r>
    </w:p>
    <w:p>
      <w:pPr>
        <w:keepNext w:val="0"/>
        <w:keepLines w:val="0"/>
        <w:pageBreakBefore w:val="0"/>
        <w:widowControl w:val="0"/>
        <w:kinsoku/>
        <w:wordWrap/>
        <w:overflowPunct/>
        <w:topLinePunct w:val="0"/>
        <w:autoSpaceDE w:val="0"/>
        <w:autoSpaceDN/>
        <w:bidi w:val="0"/>
        <w:adjustRightInd/>
        <w:snapToGrid/>
        <w:spacing w:line="560" w:lineRule="exact"/>
        <w:ind w:firstLine="480" w:firstLineChars="150"/>
        <w:jc w:val="left"/>
        <w:textAlignment w:val="auto"/>
        <w:rPr>
          <w:rFonts w:hint="eastAsia" w:ascii="仿宋_GB2312" w:hAnsi="Times New Roman" w:eastAsia="仿宋_GB2312"/>
          <w:color w:val="000000"/>
          <w:sz w:val="32"/>
          <w:szCs w:val="32"/>
        </w:rPr>
      </w:pPr>
      <w:r>
        <w:rPr>
          <w:rFonts w:ascii="仿宋_GB2312" w:hAnsi="Times New Roman" w:eastAsia="仿宋_GB2312"/>
          <w:color w:val="000000"/>
          <w:sz w:val="32"/>
          <w:szCs w:val="32"/>
        </w:rPr>
        <w:t>（</w:t>
      </w:r>
      <w:r>
        <w:rPr>
          <w:rFonts w:hint="eastAsia" w:ascii="仿宋_GB2312" w:hAnsi="Times New Roman" w:eastAsia="仿宋_GB2312"/>
          <w:color w:val="000000"/>
          <w:sz w:val="32"/>
          <w:szCs w:val="32"/>
        </w:rPr>
        <w:t>六</w:t>
      </w:r>
      <w:r>
        <w:rPr>
          <w:rFonts w:ascii="仿宋_GB2312" w:hAnsi="Times New Roman" w:eastAsia="仿宋_GB2312"/>
          <w:color w:val="000000"/>
          <w:sz w:val="32"/>
          <w:szCs w:val="32"/>
        </w:rPr>
        <w:t>）</w:t>
      </w:r>
      <w:r>
        <w:rPr>
          <w:rFonts w:hint="eastAsia" w:ascii="仿宋_GB2312" w:hAnsi="Times New Roman" w:eastAsia="仿宋_GB2312"/>
          <w:color w:val="000000"/>
          <w:sz w:val="32"/>
          <w:szCs w:val="32"/>
        </w:rPr>
        <w:t>组织开展公益性的健康教育和计生传播项目的策划、组织与实施，开展健康教育和计生社会倡导活动。</w:t>
      </w:r>
    </w:p>
    <w:p>
      <w:pPr>
        <w:keepNext w:val="0"/>
        <w:keepLines w:val="0"/>
        <w:pageBreakBefore w:val="0"/>
        <w:widowControl w:val="0"/>
        <w:kinsoku/>
        <w:wordWrap/>
        <w:overflowPunct/>
        <w:topLinePunct w:val="0"/>
        <w:autoSpaceDE w:val="0"/>
        <w:autoSpaceDN/>
        <w:bidi w:val="0"/>
        <w:adjustRightInd/>
        <w:snapToGrid/>
        <w:spacing w:line="560" w:lineRule="exact"/>
        <w:ind w:firstLine="480" w:firstLineChars="150"/>
        <w:jc w:val="left"/>
        <w:textAlignment w:val="auto"/>
        <w:rPr>
          <w:rFonts w:hint="eastAsia" w:ascii="仿宋_GB2312" w:hAnsi="Times New Roman" w:eastAsia="仿宋_GB2312"/>
          <w:color w:val="000000"/>
          <w:sz w:val="32"/>
          <w:szCs w:val="32"/>
        </w:rPr>
      </w:pPr>
      <w:r>
        <w:rPr>
          <w:rFonts w:ascii="仿宋_GB2312" w:hAnsi="Times New Roman" w:eastAsia="仿宋_GB2312"/>
          <w:color w:val="000000"/>
          <w:sz w:val="32"/>
          <w:szCs w:val="32"/>
        </w:rPr>
        <w:t>（</w:t>
      </w:r>
      <w:r>
        <w:rPr>
          <w:rFonts w:hint="eastAsia" w:ascii="仿宋_GB2312" w:hAnsi="Times New Roman" w:eastAsia="仿宋_GB2312"/>
          <w:color w:val="000000"/>
          <w:sz w:val="32"/>
          <w:szCs w:val="32"/>
        </w:rPr>
        <w:t>七</w:t>
      </w:r>
      <w:r>
        <w:rPr>
          <w:rFonts w:ascii="仿宋_GB2312" w:hAnsi="Times New Roman" w:eastAsia="仿宋_GB2312"/>
          <w:color w:val="000000"/>
          <w:sz w:val="32"/>
          <w:szCs w:val="32"/>
        </w:rPr>
        <w:t>）</w:t>
      </w:r>
      <w:r>
        <w:rPr>
          <w:rFonts w:hint="eastAsia" w:ascii="仿宋_GB2312" w:hAnsi="Times New Roman" w:eastAsia="仿宋_GB2312"/>
          <w:color w:val="000000"/>
          <w:sz w:val="32"/>
          <w:szCs w:val="32"/>
        </w:rPr>
        <w:t>组织制作健康教育和计生有关影视节目，建立文图章像资料库，提供视、章、图、文等为一体的宣传展示平台和服务，开展互联网和新媒体宣传。</w:t>
      </w:r>
    </w:p>
    <w:p>
      <w:pPr>
        <w:keepNext w:val="0"/>
        <w:keepLines w:val="0"/>
        <w:pageBreakBefore w:val="0"/>
        <w:widowControl w:val="0"/>
        <w:kinsoku/>
        <w:wordWrap/>
        <w:overflowPunct/>
        <w:topLinePunct w:val="0"/>
        <w:autoSpaceDE w:val="0"/>
        <w:autoSpaceDN/>
        <w:bidi w:val="0"/>
        <w:adjustRightInd/>
        <w:snapToGrid/>
        <w:spacing w:line="560" w:lineRule="exact"/>
        <w:ind w:firstLine="480" w:firstLineChars="150"/>
        <w:jc w:val="left"/>
        <w:textAlignment w:val="auto"/>
        <w:rPr>
          <w:rFonts w:hint="eastAsia" w:ascii="仿宋_GB2312" w:hAnsi="Times New Roman" w:eastAsia="仿宋_GB2312"/>
          <w:color w:val="000000"/>
          <w:sz w:val="32"/>
          <w:szCs w:val="32"/>
        </w:rPr>
      </w:pPr>
      <w:r>
        <w:rPr>
          <w:rFonts w:ascii="仿宋_GB2312" w:hAnsi="Times New Roman" w:eastAsia="仿宋_GB2312"/>
          <w:color w:val="000000"/>
          <w:sz w:val="32"/>
          <w:szCs w:val="32"/>
        </w:rPr>
        <w:t>（</w:t>
      </w:r>
      <w:r>
        <w:rPr>
          <w:rFonts w:hint="eastAsia" w:ascii="仿宋_GB2312" w:hAnsi="Times New Roman" w:eastAsia="仿宋_GB2312"/>
          <w:color w:val="000000"/>
          <w:sz w:val="32"/>
          <w:szCs w:val="32"/>
        </w:rPr>
        <w:t>八</w:t>
      </w:r>
      <w:r>
        <w:rPr>
          <w:rFonts w:ascii="仿宋_GB2312" w:hAnsi="Times New Roman" w:eastAsia="仿宋_GB2312"/>
          <w:color w:val="000000"/>
          <w:sz w:val="32"/>
          <w:szCs w:val="32"/>
        </w:rPr>
        <w:t>）</w:t>
      </w:r>
      <w:r>
        <w:rPr>
          <w:rFonts w:hint="eastAsia" w:ascii="仿宋_GB2312" w:hAnsi="Times New Roman" w:eastAsia="仿宋_GB2312"/>
          <w:color w:val="000000"/>
          <w:sz w:val="32"/>
          <w:szCs w:val="32"/>
        </w:rPr>
        <w:t>组织开展全市健康教育和计生宣传教育工作相关领域专业技术培训，加强健康教育和计生宣传教育工作能力建设。</w:t>
      </w:r>
    </w:p>
    <w:p>
      <w:pPr>
        <w:keepNext w:val="0"/>
        <w:keepLines w:val="0"/>
        <w:pageBreakBefore w:val="0"/>
        <w:widowControl w:val="0"/>
        <w:kinsoku/>
        <w:wordWrap/>
        <w:overflowPunct/>
        <w:topLinePunct w:val="0"/>
        <w:autoSpaceDE w:val="0"/>
        <w:autoSpaceDN/>
        <w:bidi w:val="0"/>
        <w:adjustRightInd/>
        <w:snapToGrid/>
        <w:spacing w:line="560" w:lineRule="exact"/>
        <w:ind w:firstLine="480" w:firstLineChars="150"/>
        <w:jc w:val="left"/>
        <w:textAlignment w:val="auto"/>
        <w:rPr>
          <w:rFonts w:hint="eastAsia" w:ascii="仿宋_GB2312" w:hAnsi="Times New Roman" w:eastAsia="仿宋_GB2312"/>
          <w:color w:val="000000"/>
          <w:sz w:val="32"/>
          <w:szCs w:val="32"/>
        </w:rPr>
      </w:pPr>
      <w:r>
        <w:rPr>
          <w:rFonts w:ascii="仿宋_GB2312" w:hAnsi="Times New Roman" w:eastAsia="仿宋_GB2312"/>
          <w:color w:val="000000"/>
          <w:sz w:val="32"/>
          <w:szCs w:val="32"/>
        </w:rPr>
        <w:t>（</w:t>
      </w:r>
      <w:r>
        <w:rPr>
          <w:rFonts w:hint="eastAsia" w:ascii="仿宋_GB2312" w:hAnsi="Times New Roman" w:eastAsia="仿宋_GB2312"/>
          <w:color w:val="000000"/>
          <w:sz w:val="32"/>
          <w:szCs w:val="32"/>
        </w:rPr>
        <w:t>九</w:t>
      </w:r>
      <w:r>
        <w:rPr>
          <w:rFonts w:ascii="仿宋_GB2312" w:hAnsi="Times New Roman" w:eastAsia="仿宋_GB2312"/>
          <w:color w:val="000000"/>
          <w:sz w:val="32"/>
          <w:szCs w:val="32"/>
        </w:rPr>
        <w:t>）</w:t>
      </w:r>
      <w:r>
        <w:rPr>
          <w:rFonts w:hint="eastAsia" w:ascii="仿宋_GB2312" w:hAnsi="Times New Roman" w:eastAsia="仿宋_GB2312"/>
          <w:color w:val="000000"/>
          <w:sz w:val="32"/>
          <w:szCs w:val="32"/>
        </w:rPr>
        <w:t>组织开展全市健康教育和计生宣传教育领域的对外宣传、国际交流与合作。</w:t>
      </w:r>
    </w:p>
    <w:p>
      <w:pPr>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color w:val="000000"/>
          <w:sz w:val="32"/>
          <w:szCs w:val="32"/>
          <w:highlight w:val="none"/>
        </w:rPr>
      </w:pPr>
      <w:r>
        <w:rPr>
          <w:rFonts w:hint="eastAsia" w:ascii="仿宋_GB2312" w:hAnsi="Times New Roman" w:eastAsia="仿宋_GB2312"/>
          <w:color w:val="000000"/>
          <w:sz w:val="32"/>
          <w:szCs w:val="32"/>
        </w:rPr>
        <w:t>（十）承办上级主管部门交办的其他工作。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二、机构设置</w:t>
      </w:r>
      <w:bookmarkEnd w:id="14"/>
      <w:bookmarkEnd w:id="15"/>
      <w:bookmarkEnd w:id="16"/>
      <w:bookmarkEnd w:id="17"/>
      <w:bookmarkEnd w:id="18"/>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我所于2017年3月正式成立，隶属三亚市卫生健康委员会，为从事公益服务的公益一类事业单位，正科级，核定财政全额预算管理事业编制9名（管理岗4名，专技岗5名）。</w:t>
      </w:r>
      <w:r>
        <w:rPr>
          <w:rFonts w:hint="eastAsia" w:ascii="仿宋_GB2312" w:hAnsi="仿宋_GB2312" w:eastAsia="仿宋_GB2312" w:cs="仿宋_GB2312"/>
          <w:color w:val="000000"/>
          <w:sz w:val="32"/>
          <w:szCs w:val="32"/>
          <w:lang w:val="en-US" w:eastAsia="zh-CN"/>
        </w:rPr>
        <w:t>2022年</w:t>
      </w:r>
      <w:r>
        <w:rPr>
          <w:rFonts w:hint="eastAsia" w:ascii="仿宋_GB2312" w:hAnsi="仿宋_GB2312" w:eastAsia="仿宋_GB2312" w:cs="仿宋_GB2312"/>
          <w:color w:val="000000"/>
          <w:sz w:val="32"/>
          <w:szCs w:val="32"/>
        </w:rPr>
        <w:t>在编在岗8人。</w:t>
      </w:r>
      <w:r>
        <w:rPr>
          <w:rFonts w:hint="eastAsia" w:ascii="仿宋_GB2312" w:hAnsi="仿宋_GB2312" w:eastAsia="仿宋_GB2312" w:cs="仿宋_GB2312"/>
          <w:color w:val="000000"/>
          <w:sz w:val="32"/>
          <w:szCs w:val="32"/>
          <w:lang w:eastAsia="zh-CN"/>
        </w:rPr>
        <w:t>无内设科室。</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bookmarkStart w:id="19" w:name="_Toc8164_WPSOffice_Level1"/>
      <w:bookmarkStart w:id="20" w:name="_Toc15521_WPSOffice_Level1"/>
      <w:bookmarkStart w:id="21" w:name="_Toc30451_WPSOffice_Level1"/>
      <w:bookmarkStart w:id="22" w:name="_Toc6234_WPSOffice_Level1"/>
      <w:bookmarkStart w:id="23" w:name="_Toc30690_WPSOffice_Level1"/>
      <w:bookmarkStart w:id="24" w:name="_Toc28253_WPSOffice_Level1"/>
      <w:bookmarkStart w:id="25" w:name="_Toc8867_WPSOffice_Level2"/>
      <w:bookmarkStart w:id="26" w:name="_Toc11518_WPSOffice_Level2"/>
      <w:bookmarkStart w:id="27" w:name="_Toc4029_WPSOffice_Level2"/>
      <w:bookmarkStart w:id="28" w:name="_Toc32472_WPSOffice_Level2"/>
      <w:bookmarkStart w:id="29" w:name="_Toc6211_WPSOffice_Level2"/>
      <w:bookmarkStart w:id="30" w:name="_Toc32695_WPSOffice_Level2"/>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r>
        <w:rPr>
          <w:rFonts w:hint="eastAsia" w:ascii="黑体" w:hAnsi="ˎ̥" w:eastAsia="黑体"/>
          <w:color w:val="000000"/>
          <w:sz w:val="32"/>
          <w:szCs w:val="32"/>
          <w:highlight w:val="none"/>
        </w:rPr>
        <w:t>第二部分  2022年度部门决算公开报表</w:t>
      </w:r>
      <w:bookmarkEnd w:id="19"/>
      <w:bookmarkEnd w:id="20"/>
      <w:bookmarkEnd w:id="21"/>
      <w:bookmarkEnd w:id="22"/>
      <w:bookmarkEnd w:id="23"/>
      <w:bookmarkEnd w:id="24"/>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一、收入支出决算公开表</w:t>
      </w:r>
      <w:bookmarkEnd w:id="25"/>
      <w:bookmarkEnd w:id="26"/>
      <w:bookmarkEnd w:id="27"/>
      <w:bookmarkEnd w:id="28"/>
      <w:bookmarkEnd w:id="29"/>
      <w:bookmarkEnd w:id="30"/>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bookmarkStart w:id="31" w:name="_Toc26621_WPSOffice_Level2"/>
      <w:bookmarkStart w:id="32" w:name="_Toc28622_WPSOffice_Level2"/>
      <w:bookmarkStart w:id="33" w:name="_Toc23139_WPSOffice_Level2"/>
      <w:bookmarkStart w:id="34" w:name="_Toc14349_WPSOffice_Level2"/>
      <w:bookmarkStart w:id="35" w:name="_Toc30334_WPSOffice_Level2"/>
      <w:bookmarkStart w:id="36" w:name="_Toc25608_WPSOffice_Level2"/>
      <w:r>
        <w:rPr>
          <w:rFonts w:hint="eastAsia" w:ascii="黑体" w:hAnsi="黑体" w:eastAsia="黑体" w:cs="黑体"/>
          <w:color w:val="000000"/>
          <w:sz w:val="32"/>
          <w:szCs w:val="32"/>
          <w:highlight w:val="none"/>
        </w:rPr>
        <w:t>二、收入决算公开表</w:t>
      </w:r>
      <w:bookmarkEnd w:id="31"/>
      <w:bookmarkEnd w:id="32"/>
      <w:bookmarkEnd w:id="33"/>
      <w:bookmarkEnd w:id="34"/>
      <w:bookmarkEnd w:id="35"/>
      <w:bookmarkEnd w:id="36"/>
      <w:bookmarkStart w:id="37" w:name="_Toc17626_WPSOffice_Level2"/>
      <w:bookmarkStart w:id="38" w:name="_Toc17858_WPSOffice_Level2"/>
      <w:bookmarkStart w:id="39" w:name="_Toc14658_WPSOffice_Level2"/>
      <w:bookmarkStart w:id="40" w:name="_Toc13854_WPSOffice_Level2"/>
      <w:bookmarkStart w:id="41" w:name="_Toc3262_WPSOffice_Level2"/>
      <w:bookmarkStart w:id="42" w:name="_Toc5489_WPSOffice_Level2"/>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三、支出决算公开表</w:t>
      </w:r>
      <w:bookmarkEnd w:id="37"/>
      <w:bookmarkEnd w:id="38"/>
      <w:bookmarkEnd w:id="39"/>
      <w:bookmarkEnd w:id="40"/>
      <w:bookmarkEnd w:id="41"/>
      <w:bookmarkEnd w:id="42"/>
      <w:bookmarkStart w:id="43" w:name="_Toc4265_WPSOffice_Level2"/>
      <w:bookmarkStart w:id="44" w:name="_Toc13701_WPSOffice_Level2"/>
      <w:bookmarkStart w:id="45" w:name="_Toc7988_WPSOffice_Level2"/>
      <w:bookmarkStart w:id="46" w:name="_Toc21415_WPSOffice_Level2"/>
      <w:bookmarkStart w:id="47" w:name="_Toc23493_WPSOffice_Level2"/>
      <w:bookmarkStart w:id="48" w:name="_Toc23591_WPSOffice_Level2"/>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四、财政拨款收入支出决算公开表</w:t>
      </w:r>
      <w:bookmarkEnd w:id="43"/>
      <w:bookmarkEnd w:id="44"/>
      <w:bookmarkEnd w:id="45"/>
      <w:bookmarkEnd w:id="46"/>
      <w:bookmarkEnd w:id="47"/>
      <w:bookmarkEnd w:id="48"/>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bookmarkStart w:id="49" w:name="_Toc22783_WPSOffice_Level2"/>
      <w:bookmarkStart w:id="50" w:name="_Toc25166_WPSOffice_Level2"/>
      <w:bookmarkStart w:id="51" w:name="_Toc23829_WPSOffice_Level2"/>
      <w:bookmarkStart w:id="52" w:name="_Toc7879_WPSOffice_Level2"/>
      <w:bookmarkStart w:id="53" w:name="_Toc13516_WPSOffice_Level2"/>
      <w:bookmarkStart w:id="54" w:name="_Toc2158_WPSOffice_Level2"/>
      <w:r>
        <w:rPr>
          <w:rFonts w:hint="eastAsia" w:ascii="黑体" w:hAnsi="黑体" w:eastAsia="黑体" w:cs="黑体"/>
          <w:color w:val="000000"/>
          <w:sz w:val="32"/>
          <w:szCs w:val="32"/>
          <w:highlight w:val="none"/>
        </w:rPr>
        <w:t>五、一般公共预算财政拨款收入支出决算</w:t>
      </w:r>
      <w:bookmarkEnd w:id="49"/>
      <w:bookmarkEnd w:id="50"/>
      <w:bookmarkEnd w:id="51"/>
      <w:bookmarkEnd w:id="52"/>
      <w:r>
        <w:rPr>
          <w:rFonts w:hint="eastAsia" w:ascii="黑体" w:hAnsi="黑体" w:eastAsia="黑体" w:cs="黑体"/>
          <w:color w:val="000000"/>
          <w:sz w:val="32"/>
          <w:szCs w:val="32"/>
          <w:highlight w:val="none"/>
        </w:rPr>
        <w:t>公开表</w:t>
      </w:r>
      <w:bookmarkEnd w:id="53"/>
      <w:bookmarkEnd w:id="54"/>
      <w:bookmarkStart w:id="55" w:name="_Toc2632_WPSOffice_Level2"/>
      <w:bookmarkStart w:id="56" w:name="_Toc8373_WPSOffice_Level2"/>
      <w:bookmarkStart w:id="57" w:name="_Toc17283_WPSOffice_Level2"/>
      <w:bookmarkStart w:id="58" w:name="_Toc5343_WPSOffice_Level2"/>
      <w:bookmarkStart w:id="59" w:name="_Toc25362_WPSOffice_Level2"/>
      <w:bookmarkStart w:id="60" w:name="_Toc17833_WPSOffice_Level2"/>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六、一般公共预算财政拨款基本支出决算</w:t>
      </w:r>
      <w:bookmarkEnd w:id="55"/>
      <w:bookmarkEnd w:id="56"/>
      <w:bookmarkEnd w:id="57"/>
      <w:bookmarkEnd w:id="58"/>
      <w:bookmarkEnd w:id="59"/>
      <w:bookmarkEnd w:id="60"/>
      <w:r>
        <w:rPr>
          <w:rFonts w:hint="eastAsia" w:ascii="黑体" w:hAnsi="黑体" w:eastAsia="黑体" w:cs="黑体"/>
          <w:color w:val="000000"/>
          <w:sz w:val="32"/>
          <w:szCs w:val="32"/>
          <w:highlight w:val="none"/>
        </w:rPr>
        <w:t>公开表</w:t>
      </w:r>
    </w:p>
    <w:p>
      <w:pPr>
        <w:keepNext w:val="0"/>
        <w:keepLines w:val="0"/>
        <w:pageBreakBefore w:val="0"/>
        <w:kinsoku/>
        <w:wordWrap/>
        <w:overflowPunct/>
        <w:topLinePunct w:val="0"/>
        <w:autoSpaceDE/>
        <w:autoSpaceDN/>
        <w:bidi w:val="0"/>
        <w:adjustRightInd/>
        <w:snapToGrid/>
        <w:spacing w:line="560" w:lineRule="exact"/>
        <w:ind w:left="1118" w:leftChars="304" w:hanging="480" w:hangingChars="150"/>
        <w:textAlignment w:val="auto"/>
        <w:rPr>
          <w:rFonts w:hint="eastAsia" w:ascii="黑体" w:hAnsi="黑体" w:eastAsia="黑体" w:cs="黑体"/>
          <w:color w:val="000000"/>
          <w:sz w:val="32"/>
          <w:szCs w:val="32"/>
          <w:highlight w:val="none"/>
        </w:rPr>
      </w:pPr>
      <w:bookmarkStart w:id="61" w:name="_Toc21310_WPSOffice_Level2"/>
      <w:bookmarkStart w:id="62" w:name="_Toc5594_WPSOffice_Level2"/>
      <w:bookmarkStart w:id="63" w:name="_Toc6020_WPSOffice_Level2"/>
      <w:bookmarkStart w:id="64" w:name="_Toc11799_WPSOffice_Level2"/>
      <w:bookmarkStart w:id="65" w:name="_Toc1533_WPSOffice_Level2"/>
      <w:bookmarkStart w:id="66" w:name="_Toc13345_WPSOffice_Level2"/>
      <w:r>
        <w:rPr>
          <w:rFonts w:hint="eastAsia" w:ascii="黑体" w:hAnsi="黑体" w:eastAsia="黑体" w:cs="黑体"/>
          <w:color w:val="000000"/>
          <w:sz w:val="32"/>
          <w:szCs w:val="32"/>
          <w:highlight w:val="none"/>
        </w:rPr>
        <w:t>七、政府性基金预算财政拨款收入支出决算</w:t>
      </w:r>
      <w:bookmarkEnd w:id="61"/>
      <w:bookmarkEnd w:id="62"/>
      <w:bookmarkEnd w:id="63"/>
      <w:bookmarkEnd w:id="64"/>
      <w:bookmarkEnd w:id="65"/>
      <w:bookmarkEnd w:id="66"/>
      <w:r>
        <w:rPr>
          <w:rFonts w:hint="eastAsia" w:ascii="黑体" w:hAnsi="黑体" w:eastAsia="黑体" w:cs="黑体"/>
          <w:color w:val="000000"/>
          <w:sz w:val="32"/>
          <w:szCs w:val="32"/>
          <w:highlight w:val="none"/>
        </w:rPr>
        <w:t>公开表</w:t>
      </w:r>
    </w:p>
    <w:p>
      <w:pPr>
        <w:keepNext w:val="0"/>
        <w:keepLines w:val="0"/>
        <w:pageBreakBefore w:val="0"/>
        <w:kinsoku/>
        <w:wordWrap/>
        <w:overflowPunct/>
        <w:topLinePunct w:val="0"/>
        <w:autoSpaceDE/>
        <w:autoSpaceDN/>
        <w:bidi w:val="0"/>
        <w:adjustRightInd/>
        <w:snapToGrid/>
        <w:spacing w:line="560" w:lineRule="exact"/>
        <w:ind w:left="1118" w:leftChars="304" w:hanging="480" w:hangingChars="150"/>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八、国有资本经营预算财政拨款收入支出决算公开表</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color w:val="000000"/>
          <w:sz w:val="32"/>
          <w:szCs w:val="32"/>
          <w:highlight w:val="none"/>
        </w:rPr>
      </w:pPr>
      <w:bookmarkStart w:id="67" w:name="_Toc19961_WPSOffice_Level2"/>
      <w:bookmarkStart w:id="68" w:name="_Toc29886_WPSOffice_Level2"/>
      <w:bookmarkStart w:id="69" w:name="_Toc1820_WPSOffice_Level2"/>
      <w:bookmarkStart w:id="70" w:name="_Toc9377_WPSOffice_Level2"/>
      <w:r>
        <w:rPr>
          <w:rFonts w:hint="eastAsia" w:ascii="黑体" w:hAnsi="黑体" w:eastAsia="黑体" w:cs="黑体"/>
          <w:color w:val="000000"/>
          <w:sz w:val="32"/>
          <w:szCs w:val="32"/>
          <w:highlight w:val="none"/>
        </w:rPr>
        <w:t>九、财政拨款“三公”经费支出决算</w:t>
      </w:r>
      <w:bookmarkEnd w:id="67"/>
      <w:bookmarkEnd w:id="68"/>
      <w:bookmarkEnd w:id="69"/>
      <w:bookmarkEnd w:id="70"/>
      <w:r>
        <w:rPr>
          <w:rFonts w:hint="eastAsia" w:ascii="黑体" w:hAnsi="黑体" w:eastAsia="黑体" w:cs="黑体"/>
          <w:color w:val="000000"/>
          <w:sz w:val="32"/>
          <w:szCs w:val="32"/>
          <w:highlight w:val="none"/>
        </w:rPr>
        <w:t>公开表</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color w:val="000000"/>
          <w:sz w:val="32"/>
          <w:szCs w:val="32"/>
          <w:highlight w:val="none"/>
        </w:rPr>
      </w:pPr>
      <w:r>
        <w:rPr>
          <w:rFonts w:hint="eastAsia" w:ascii="黑体" w:hAnsi="黑体" w:eastAsia="黑体" w:cs="黑体"/>
          <w:color w:val="000000"/>
          <w:w w:val="96"/>
          <w:sz w:val="32"/>
          <w:szCs w:val="32"/>
          <w:highlight w:val="none"/>
        </w:rPr>
        <w:t>以上报表见附件</w:t>
      </w:r>
      <w:r>
        <w:rPr>
          <w:rFonts w:hint="eastAsia" w:ascii="黑体" w:hAnsi="黑体" w:eastAsia="黑体" w:cs="黑体"/>
          <w:color w:val="000000"/>
          <w:w w:val="96"/>
          <w:sz w:val="32"/>
          <w:szCs w:val="32"/>
          <w:highlight w:val="none"/>
          <w:lang w:val="en-US" w:eastAsia="zh-CN"/>
        </w:rPr>
        <w:t>1</w:t>
      </w:r>
      <w:r>
        <w:rPr>
          <w:rFonts w:hint="eastAsia" w:ascii="黑体" w:hAnsi="黑体" w:eastAsia="黑体" w:cs="黑体"/>
          <w:color w:val="000000"/>
          <w:w w:val="96"/>
          <w:sz w:val="32"/>
          <w:szCs w:val="32"/>
          <w:highlight w:val="none"/>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bookmarkStart w:id="71" w:name="_Toc4402_WPSOffice_Level1"/>
      <w:bookmarkStart w:id="72" w:name="_Toc27590_WPSOffice_Level1"/>
      <w:bookmarkStart w:id="73" w:name="_Toc31264_WPSOffice_Level1"/>
      <w:bookmarkStart w:id="74" w:name="_Toc29683_WPSOffice_Level1"/>
      <w:bookmarkStart w:id="75" w:name="_Toc28629_WPSOffice_Level1"/>
      <w:bookmarkStart w:id="76" w:name="_Toc16686_WPSOffice_Level1"/>
      <w:r>
        <w:rPr>
          <w:rFonts w:hint="eastAsia" w:ascii="黑体" w:hAnsi="ˎ̥" w:eastAsia="黑体"/>
          <w:color w:val="000000"/>
          <w:sz w:val="32"/>
          <w:szCs w:val="32"/>
          <w:highlight w:val="none"/>
        </w:rPr>
        <w:t>第三部分  2022年度部门决算情况说明</w:t>
      </w:r>
      <w:bookmarkEnd w:id="71"/>
      <w:bookmarkEnd w:id="72"/>
      <w:bookmarkEnd w:id="73"/>
      <w:bookmarkEnd w:id="74"/>
      <w:bookmarkEnd w:id="75"/>
      <w:bookmarkEnd w:id="76"/>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p>
    <w:p>
      <w:pPr>
        <w:ind w:firstLine="640" w:firstLineChars="200"/>
        <w:rPr>
          <w:rFonts w:hint="eastAsia" w:ascii="仿宋_GB2312" w:hAnsi="ˎ̥" w:eastAsia="仿宋_GB2312"/>
          <w:sz w:val="32"/>
          <w:szCs w:val="32"/>
        </w:rPr>
      </w:pPr>
      <w:r>
        <w:rPr>
          <w:rFonts w:hint="eastAsia" w:ascii="黑体" w:hAnsi="黑体" w:eastAsia="黑体" w:cs="黑体"/>
          <w:bCs/>
          <w:color w:val="000000"/>
          <w:sz w:val="32"/>
          <w:szCs w:val="32"/>
          <w:highlight w:val="none"/>
        </w:rPr>
        <w:t>一、收入支出总体情况说明</w:t>
      </w:r>
      <w:r>
        <w:rPr>
          <w:rFonts w:hint="eastAsia" w:ascii="黑体" w:hAnsi="黑体" w:eastAsia="黑体" w:cs="黑体"/>
          <w:bCs/>
          <w:color w:val="000000"/>
          <w:sz w:val="32"/>
          <w:szCs w:val="32"/>
          <w:highlight w:val="none"/>
        </w:rPr>
        <w:br w:type="textWrapping"/>
      </w:r>
      <w:r>
        <w:rPr>
          <w:rFonts w:hint="eastAsia" w:ascii="楷体_GB2312" w:hAnsi="ˎ̥" w:eastAsia="楷体_GB2312"/>
          <w:color w:val="000000"/>
          <w:sz w:val="32"/>
          <w:szCs w:val="32"/>
          <w:highlight w:val="none"/>
        </w:rPr>
        <w:t xml:space="preserve">    </w:t>
      </w:r>
      <w:r>
        <w:rPr>
          <w:rFonts w:hint="eastAsia" w:ascii="仿宋_GB2312" w:hAnsi="ˎ̥" w:eastAsia="仿宋_GB2312"/>
          <w:sz w:val="32"/>
          <w:szCs w:val="32"/>
        </w:rPr>
        <w:t>202</w:t>
      </w:r>
      <w:r>
        <w:rPr>
          <w:rFonts w:hint="eastAsia" w:ascii="仿宋_GB2312" w:hAnsi="ˎ̥" w:eastAsia="仿宋_GB2312"/>
          <w:sz w:val="32"/>
          <w:szCs w:val="32"/>
          <w:lang w:val="en-US" w:eastAsia="zh-CN"/>
        </w:rPr>
        <w:t>2</w:t>
      </w:r>
      <w:r>
        <w:rPr>
          <w:rFonts w:hint="eastAsia" w:ascii="仿宋_GB2312" w:hAnsi="ˎ̥" w:eastAsia="仿宋_GB2312"/>
          <w:sz w:val="32"/>
          <w:szCs w:val="32"/>
        </w:rPr>
        <w:t>年度收入总计</w:t>
      </w:r>
      <w:r>
        <w:rPr>
          <w:rFonts w:hint="eastAsia" w:ascii="仿宋_GB2312" w:hAnsi="ˎ̥" w:eastAsia="仿宋_GB2312"/>
          <w:sz w:val="32"/>
          <w:szCs w:val="32"/>
          <w:lang w:val="en-US" w:eastAsia="zh-CN"/>
        </w:rPr>
        <w:t>296.69</w:t>
      </w:r>
      <w:r>
        <w:rPr>
          <w:rFonts w:hint="eastAsia" w:ascii="仿宋_GB2312" w:hAnsi="ˎ̥" w:eastAsia="仿宋_GB2312"/>
          <w:sz w:val="32"/>
          <w:szCs w:val="32"/>
        </w:rPr>
        <w:t>万元，支出总计</w:t>
      </w:r>
      <w:r>
        <w:rPr>
          <w:rFonts w:hint="eastAsia" w:ascii="仿宋_GB2312" w:hAnsi="ˎ̥" w:eastAsia="仿宋_GB2312"/>
          <w:sz w:val="32"/>
          <w:szCs w:val="32"/>
          <w:lang w:val="en-US" w:eastAsia="zh-CN"/>
        </w:rPr>
        <w:t>296.69</w:t>
      </w:r>
      <w:r>
        <w:rPr>
          <w:rFonts w:hint="eastAsia" w:ascii="仿宋_GB2312" w:hAnsi="ˎ̥" w:eastAsia="仿宋_GB2312"/>
          <w:sz w:val="32"/>
          <w:szCs w:val="32"/>
        </w:rPr>
        <w:t>万元，与202</w:t>
      </w:r>
      <w:r>
        <w:rPr>
          <w:rFonts w:hint="eastAsia" w:ascii="仿宋_GB2312" w:hAnsi="ˎ̥" w:eastAsia="仿宋_GB2312"/>
          <w:sz w:val="32"/>
          <w:szCs w:val="32"/>
          <w:lang w:val="en-US" w:eastAsia="zh-CN"/>
        </w:rPr>
        <w:t>1</w:t>
      </w:r>
      <w:r>
        <w:rPr>
          <w:rFonts w:hint="eastAsia" w:ascii="仿宋_GB2312" w:hAnsi="ˎ̥" w:eastAsia="仿宋_GB2312"/>
          <w:sz w:val="32"/>
          <w:szCs w:val="32"/>
        </w:rPr>
        <w:t>年度相比，财政拨款收入</w:t>
      </w:r>
      <w:r>
        <w:rPr>
          <w:rFonts w:hint="eastAsia" w:ascii="仿宋_GB2312" w:hAnsi="ˎ̥" w:eastAsia="仿宋_GB2312"/>
          <w:sz w:val="32"/>
          <w:szCs w:val="32"/>
          <w:lang w:eastAsia="zh-CN"/>
        </w:rPr>
        <w:t>总计增加</w:t>
      </w:r>
      <w:r>
        <w:rPr>
          <w:rFonts w:hint="eastAsia" w:ascii="仿宋_GB2312" w:hAnsi="ˎ̥" w:eastAsia="仿宋_GB2312"/>
          <w:sz w:val="32"/>
          <w:szCs w:val="32"/>
          <w:lang w:val="en-US" w:eastAsia="zh-CN"/>
        </w:rPr>
        <w:t>14.66万元，增长5.2%，</w:t>
      </w:r>
      <w:r>
        <w:rPr>
          <w:rFonts w:hint="eastAsia" w:ascii="仿宋_GB2312" w:hAnsi="ˎ̥" w:eastAsia="仿宋_GB2312"/>
          <w:sz w:val="32"/>
          <w:szCs w:val="32"/>
        </w:rPr>
        <w:t>支出总计减少</w:t>
      </w:r>
      <w:r>
        <w:rPr>
          <w:rFonts w:hint="eastAsia" w:ascii="仿宋_GB2312" w:hAnsi="ˎ̥" w:eastAsia="仿宋_GB2312"/>
          <w:sz w:val="32"/>
          <w:szCs w:val="32"/>
          <w:lang w:val="en-US" w:eastAsia="zh-CN"/>
        </w:rPr>
        <w:t>1.98</w:t>
      </w:r>
      <w:r>
        <w:rPr>
          <w:rFonts w:hint="eastAsia" w:ascii="仿宋_GB2312" w:hAnsi="ˎ̥" w:eastAsia="仿宋_GB2312"/>
          <w:sz w:val="32"/>
          <w:szCs w:val="32"/>
        </w:rPr>
        <w:t>万元，下降</w:t>
      </w:r>
      <w:r>
        <w:rPr>
          <w:rFonts w:hint="eastAsia" w:ascii="仿宋_GB2312" w:hAnsi="ˎ̥" w:eastAsia="仿宋_GB2312"/>
          <w:sz w:val="32"/>
          <w:szCs w:val="32"/>
          <w:lang w:val="en-US" w:eastAsia="zh-CN"/>
        </w:rPr>
        <w:t>0.1</w:t>
      </w:r>
      <w:r>
        <w:rPr>
          <w:rFonts w:hint="eastAsia" w:ascii="仿宋_GB2312" w:hAnsi="ˎ̥" w:eastAsia="仿宋_GB2312"/>
          <w:sz w:val="32"/>
          <w:szCs w:val="32"/>
        </w:rPr>
        <w:t>%。主要原因：一是</w:t>
      </w:r>
      <w:r>
        <w:rPr>
          <w:rFonts w:hint="eastAsia" w:ascii="仿宋_GB2312" w:hAnsi="ˎ̥" w:eastAsia="仿宋_GB2312"/>
          <w:sz w:val="32"/>
          <w:szCs w:val="32"/>
          <w:lang w:eastAsia="zh-CN"/>
        </w:rPr>
        <w:t>财政拨款收入</w:t>
      </w:r>
      <w:r>
        <w:rPr>
          <w:rFonts w:hint="eastAsia" w:ascii="仿宋_GB2312" w:hAnsi="ˎ̥" w:eastAsia="仿宋_GB2312"/>
          <w:sz w:val="32"/>
          <w:szCs w:val="32"/>
        </w:rPr>
        <w:t>；二是</w:t>
      </w:r>
      <w:r>
        <w:rPr>
          <w:rFonts w:hint="eastAsia" w:ascii="仿宋_GB2312" w:hAnsi="ˎ̥" w:eastAsia="仿宋_GB2312"/>
          <w:sz w:val="32"/>
          <w:szCs w:val="32"/>
          <w:lang w:eastAsia="zh-CN"/>
        </w:rPr>
        <w:t>受新冠疫情影响，支出略有下降</w:t>
      </w:r>
      <w:r>
        <w:rPr>
          <w:rFonts w:hint="eastAsia" w:ascii="仿宋_GB2312" w:hAnsi="ˎ̥" w:eastAsia="仿宋_GB2312"/>
          <w:sz w:val="32"/>
          <w:szCs w:val="32"/>
        </w:rPr>
        <w:t>。使用非财政拨款结余</w:t>
      </w:r>
      <w:r>
        <w:rPr>
          <w:rFonts w:hint="eastAsia" w:ascii="仿宋_GB2312" w:hAnsi="ˎ̥" w:eastAsia="仿宋_GB2312"/>
          <w:sz w:val="32"/>
          <w:szCs w:val="32"/>
          <w:lang w:val="en-US" w:eastAsia="zh-CN"/>
        </w:rPr>
        <w:t>0</w:t>
      </w:r>
      <w:r>
        <w:rPr>
          <w:rFonts w:hint="eastAsia" w:ascii="仿宋_GB2312" w:hAnsi="ˎ̥" w:eastAsia="仿宋_GB2312"/>
          <w:sz w:val="32"/>
          <w:szCs w:val="32"/>
        </w:rPr>
        <w:t>万元，较202</w:t>
      </w:r>
      <w:r>
        <w:rPr>
          <w:rFonts w:hint="eastAsia" w:ascii="仿宋_GB2312" w:hAnsi="ˎ̥" w:eastAsia="仿宋_GB2312"/>
          <w:sz w:val="32"/>
          <w:szCs w:val="32"/>
          <w:lang w:val="en-US" w:eastAsia="zh-CN"/>
        </w:rPr>
        <w:t>1</w:t>
      </w:r>
      <w:r>
        <w:rPr>
          <w:rFonts w:hint="eastAsia" w:ascii="仿宋_GB2312" w:hAnsi="ˎ̥" w:eastAsia="仿宋_GB2312"/>
          <w:sz w:val="32"/>
          <w:szCs w:val="32"/>
        </w:rPr>
        <w:t>年度决算数增加</w:t>
      </w:r>
      <w:r>
        <w:rPr>
          <w:rFonts w:hint="eastAsia" w:ascii="仿宋_GB2312" w:hAnsi="ˎ̥" w:eastAsia="仿宋_GB2312"/>
          <w:sz w:val="32"/>
          <w:szCs w:val="32"/>
          <w:lang w:val="en-US" w:eastAsia="zh-CN"/>
        </w:rPr>
        <w:t>0</w:t>
      </w:r>
      <w:r>
        <w:rPr>
          <w:rFonts w:hint="eastAsia" w:ascii="仿宋_GB2312" w:hAnsi="ˎ̥" w:eastAsia="仿宋_GB2312"/>
          <w:sz w:val="32"/>
          <w:szCs w:val="32"/>
        </w:rPr>
        <w:t>万元，主要原因</w:t>
      </w:r>
      <w:r>
        <w:rPr>
          <w:rFonts w:hint="eastAsia" w:ascii="仿宋_GB2312" w:hAnsi="ˎ̥" w:eastAsia="仿宋_GB2312"/>
          <w:sz w:val="32"/>
          <w:szCs w:val="32"/>
          <w:lang w:eastAsia="zh-CN"/>
        </w:rPr>
        <w:t>：全部经费来源财政拨款</w:t>
      </w:r>
      <w:r>
        <w:rPr>
          <w:rFonts w:hint="eastAsia" w:ascii="仿宋_GB2312" w:hAnsi="ˎ̥" w:eastAsia="仿宋_GB2312"/>
          <w:sz w:val="32"/>
          <w:szCs w:val="32"/>
        </w:rPr>
        <w:t>。年初结转结余</w:t>
      </w:r>
      <w:r>
        <w:rPr>
          <w:rFonts w:hint="eastAsia" w:ascii="仿宋_GB2312" w:hAnsi="ˎ̥" w:eastAsia="仿宋_GB2312"/>
          <w:sz w:val="32"/>
          <w:szCs w:val="32"/>
          <w:lang w:val="en-US" w:eastAsia="zh-CN"/>
        </w:rPr>
        <w:t>0</w:t>
      </w:r>
      <w:r>
        <w:rPr>
          <w:rFonts w:hint="eastAsia" w:ascii="仿宋_GB2312" w:hAnsi="ˎ̥" w:eastAsia="仿宋_GB2312"/>
          <w:sz w:val="32"/>
          <w:szCs w:val="32"/>
        </w:rPr>
        <w:t>万元，主要是</w:t>
      </w:r>
      <w:r>
        <w:rPr>
          <w:rFonts w:hint="eastAsia" w:ascii="仿宋_GB2312" w:hAnsi="ˎ̥" w:eastAsia="仿宋_GB2312"/>
          <w:sz w:val="32"/>
          <w:szCs w:val="32"/>
          <w:lang w:eastAsia="zh-CN"/>
        </w:rPr>
        <w:t>没有结余</w:t>
      </w:r>
      <w:r>
        <w:rPr>
          <w:rFonts w:hint="eastAsia" w:ascii="仿宋_GB2312" w:hAnsi="ˎ̥" w:eastAsia="仿宋_GB2312"/>
          <w:sz w:val="32"/>
          <w:szCs w:val="32"/>
        </w:rPr>
        <w:t>，较202</w:t>
      </w:r>
      <w:r>
        <w:rPr>
          <w:rFonts w:hint="eastAsia" w:ascii="仿宋_GB2312" w:hAnsi="ˎ̥" w:eastAsia="仿宋_GB2312"/>
          <w:sz w:val="32"/>
          <w:szCs w:val="32"/>
          <w:lang w:val="en-US" w:eastAsia="zh-CN"/>
        </w:rPr>
        <w:t>1</w:t>
      </w:r>
      <w:r>
        <w:rPr>
          <w:rFonts w:hint="eastAsia" w:ascii="仿宋_GB2312" w:hAnsi="ˎ̥" w:eastAsia="仿宋_GB2312"/>
          <w:sz w:val="32"/>
          <w:szCs w:val="32"/>
        </w:rPr>
        <w:t>年度决算数增加</w:t>
      </w:r>
      <w:r>
        <w:rPr>
          <w:rFonts w:hint="eastAsia" w:ascii="仿宋_GB2312" w:hAnsi="ˎ̥" w:eastAsia="仿宋_GB2312"/>
          <w:sz w:val="32"/>
          <w:szCs w:val="32"/>
          <w:lang w:val="en-US" w:eastAsia="zh-CN"/>
        </w:rPr>
        <w:t>0</w:t>
      </w:r>
      <w:r>
        <w:rPr>
          <w:rFonts w:hint="eastAsia" w:ascii="仿宋_GB2312" w:hAnsi="ˎ̥" w:eastAsia="仿宋_GB2312"/>
          <w:sz w:val="32"/>
          <w:szCs w:val="32"/>
        </w:rPr>
        <w:t>万元，增长</w:t>
      </w:r>
      <w:r>
        <w:rPr>
          <w:rFonts w:hint="eastAsia" w:ascii="仿宋_GB2312" w:hAnsi="ˎ̥" w:eastAsia="仿宋_GB2312"/>
          <w:sz w:val="32"/>
          <w:szCs w:val="32"/>
          <w:lang w:val="en-US" w:eastAsia="zh-CN"/>
        </w:rPr>
        <w:t>0</w:t>
      </w:r>
      <w:r>
        <w:rPr>
          <w:rFonts w:hint="eastAsia" w:ascii="仿宋_GB2312" w:hAnsi="ˎ̥" w:eastAsia="仿宋_GB2312"/>
          <w:sz w:val="32"/>
          <w:szCs w:val="32"/>
        </w:rPr>
        <w:t>%，主要原因</w:t>
      </w:r>
      <w:r>
        <w:rPr>
          <w:rFonts w:hint="eastAsia" w:ascii="仿宋_GB2312" w:hAnsi="ˎ̥" w:eastAsia="仿宋_GB2312"/>
          <w:sz w:val="32"/>
          <w:szCs w:val="32"/>
          <w:lang w:eastAsia="zh-CN"/>
        </w:rPr>
        <w:t>：没有结余</w:t>
      </w:r>
      <w:r>
        <w:rPr>
          <w:rFonts w:hint="eastAsia" w:ascii="仿宋_GB2312" w:hAnsi="ˎ̥" w:eastAsia="仿宋_GB2312"/>
          <w:sz w:val="32"/>
          <w:szCs w:val="32"/>
        </w:rPr>
        <w:t>。结余分配</w:t>
      </w:r>
      <w:r>
        <w:rPr>
          <w:rFonts w:hint="eastAsia" w:ascii="仿宋_GB2312" w:hAnsi="ˎ̥" w:eastAsia="仿宋_GB2312"/>
          <w:sz w:val="32"/>
          <w:szCs w:val="32"/>
          <w:lang w:val="en-US" w:eastAsia="zh-CN"/>
        </w:rPr>
        <w:t>0</w:t>
      </w:r>
      <w:r>
        <w:rPr>
          <w:rFonts w:hint="eastAsia" w:ascii="仿宋_GB2312" w:hAnsi="ˎ̥" w:eastAsia="仿宋_GB2312"/>
          <w:sz w:val="32"/>
          <w:szCs w:val="32"/>
        </w:rPr>
        <w:t>万元，较202</w:t>
      </w:r>
      <w:r>
        <w:rPr>
          <w:rFonts w:hint="eastAsia" w:ascii="仿宋_GB2312" w:hAnsi="ˎ̥" w:eastAsia="仿宋_GB2312"/>
          <w:sz w:val="32"/>
          <w:szCs w:val="32"/>
          <w:lang w:val="en-US" w:eastAsia="zh-CN"/>
        </w:rPr>
        <w:t>1</w:t>
      </w:r>
      <w:r>
        <w:rPr>
          <w:rFonts w:hint="eastAsia" w:ascii="仿宋_GB2312" w:hAnsi="ˎ̥" w:eastAsia="仿宋_GB2312"/>
          <w:sz w:val="32"/>
          <w:szCs w:val="32"/>
        </w:rPr>
        <w:t>年度决算数增加</w:t>
      </w:r>
      <w:r>
        <w:rPr>
          <w:rFonts w:hint="eastAsia" w:ascii="仿宋_GB2312" w:hAnsi="ˎ̥" w:eastAsia="仿宋_GB2312"/>
          <w:sz w:val="32"/>
          <w:szCs w:val="32"/>
          <w:lang w:val="en-US" w:eastAsia="zh-CN"/>
        </w:rPr>
        <w:t>0</w:t>
      </w:r>
      <w:r>
        <w:rPr>
          <w:rFonts w:hint="eastAsia" w:ascii="仿宋_GB2312" w:hAnsi="ˎ̥" w:eastAsia="仿宋_GB2312"/>
          <w:sz w:val="32"/>
          <w:szCs w:val="32"/>
        </w:rPr>
        <w:t>万元，增长</w:t>
      </w:r>
      <w:r>
        <w:rPr>
          <w:rFonts w:hint="eastAsia" w:ascii="仿宋_GB2312" w:hAnsi="ˎ̥" w:eastAsia="仿宋_GB2312"/>
          <w:sz w:val="32"/>
          <w:szCs w:val="32"/>
          <w:lang w:val="en-US" w:eastAsia="zh-CN"/>
        </w:rPr>
        <w:t>0</w:t>
      </w:r>
      <w:r>
        <w:rPr>
          <w:rFonts w:hint="eastAsia" w:ascii="仿宋_GB2312" w:hAnsi="ˎ̥" w:eastAsia="仿宋_GB2312"/>
          <w:sz w:val="32"/>
          <w:szCs w:val="32"/>
        </w:rPr>
        <w:t>%，主要原因</w:t>
      </w:r>
      <w:r>
        <w:rPr>
          <w:rFonts w:hint="eastAsia" w:ascii="仿宋_GB2312" w:hAnsi="ˎ̥" w:eastAsia="仿宋_GB2312"/>
          <w:sz w:val="32"/>
          <w:szCs w:val="32"/>
          <w:lang w:eastAsia="zh-CN"/>
        </w:rPr>
        <w:t>：没有结余分配</w:t>
      </w:r>
      <w:r>
        <w:rPr>
          <w:rFonts w:hint="eastAsia" w:ascii="仿宋_GB2312" w:hAnsi="ˎ̥" w:eastAsia="仿宋_GB2312"/>
          <w:sz w:val="32"/>
          <w:szCs w:val="32"/>
        </w:rPr>
        <w:t>。年末结转结余</w:t>
      </w:r>
      <w:r>
        <w:rPr>
          <w:rFonts w:hint="eastAsia" w:ascii="仿宋_GB2312" w:hAnsi="ˎ̥" w:eastAsia="仿宋_GB2312"/>
          <w:sz w:val="32"/>
          <w:szCs w:val="32"/>
          <w:lang w:val="en-US" w:eastAsia="zh-CN"/>
        </w:rPr>
        <w:t>0</w:t>
      </w:r>
      <w:r>
        <w:rPr>
          <w:rFonts w:hint="eastAsia" w:ascii="仿宋_GB2312" w:hAnsi="ˎ̥" w:eastAsia="仿宋_GB2312"/>
          <w:sz w:val="32"/>
          <w:szCs w:val="32"/>
        </w:rPr>
        <w:t>万元，主要是</w:t>
      </w:r>
      <w:r>
        <w:rPr>
          <w:rFonts w:hint="eastAsia" w:ascii="仿宋_GB2312" w:hAnsi="ˎ̥" w:eastAsia="仿宋_GB2312"/>
          <w:sz w:val="32"/>
          <w:szCs w:val="32"/>
          <w:lang w:eastAsia="zh-CN"/>
        </w:rPr>
        <w:t>没有结转结余</w:t>
      </w:r>
      <w:r>
        <w:rPr>
          <w:rFonts w:hint="eastAsia" w:ascii="仿宋_GB2312" w:hAnsi="ˎ̥" w:eastAsia="仿宋_GB2312"/>
          <w:sz w:val="32"/>
          <w:szCs w:val="32"/>
        </w:rPr>
        <w:t>，较202</w:t>
      </w:r>
      <w:r>
        <w:rPr>
          <w:rFonts w:hint="eastAsia" w:ascii="仿宋_GB2312" w:hAnsi="ˎ̥" w:eastAsia="仿宋_GB2312"/>
          <w:sz w:val="32"/>
          <w:szCs w:val="32"/>
          <w:lang w:val="en-US" w:eastAsia="zh-CN"/>
        </w:rPr>
        <w:t>1</w:t>
      </w:r>
      <w:r>
        <w:rPr>
          <w:rFonts w:hint="eastAsia" w:ascii="仿宋_GB2312" w:hAnsi="ˎ̥" w:eastAsia="仿宋_GB2312"/>
          <w:sz w:val="32"/>
          <w:szCs w:val="32"/>
        </w:rPr>
        <w:t>年度决算数</w:t>
      </w:r>
      <w:r>
        <w:rPr>
          <w:rFonts w:hint="eastAsia" w:ascii="仿宋_GB2312" w:hAnsi="ˎ̥" w:eastAsia="仿宋_GB2312"/>
          <w:sz w:val="32"/>
          <w:szCs w:val="32"/>
          <w:lang w:eastAsia="zh-CN"/>
        </w:rPr>
        <w:t>增加</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eastAsia="zh-CN"/>
        </w:rPr>
        <w:t>增长</w:t>
      </w:r>
      <w:r>
        <w:rPr>
          <w:rFonts w:hint="eastAsia" w:ascii="仿宋_GB2312" w:hAnsi="ˎ̥" w:eastAsia="仿宋_GB2312"/>
          <w:sz w:val="32"/>
          <w:szCs w:val="32"/>
          <w:lang w:val="en-US" w:eastAsia="zh-CN"/>
        </w:rPr>
        <w:t>0</w:t>
      </w:r>
      <w:r>
        <w:rPr>
          <w:rFonts w:hint="eastAsia" w:ascii="仿宋_GB2312" w:hAnsi="ˎ̥" w:eastAsia="仿宋_GB2312"/>
          <w:sz w:val="32"/>
          <w:szCs w:val="32"/>
        </w:rPr>
        <w:t>%。</w:t>
      </w:r>
    </w:p>
    <w:p>
      <w:pPr>
        <w:ind w:left="0" w:leftChars="0" w:firstLine="640" w:firstLineChars="200"/>
        <w:rPr>
          <w:rFonts w:hint="eastAsia" w:ascii="仿宋_GB2312" w:hAnsi="ˎ̥" w:eastAsia="仿宋_GB2312"/>
          <w:sz w:val="32"/>
          <w:szCs w:val="32"/>
        </w:rPr>
      </w:pPr>
      <w:r>
        <w:rPr>
          <w:rFonts w:hint="eastAsia" w:ascii="黑体" w:hAnsi="黑体" w:eastAsia="黑体" w:cs="黑体"/>
          <w:bCs/>
          <w:color w:val="000000"/>
          <w:sz w:val="32"/>
          <w:szCs w:val="32"/>
          <w:highlight w:val="none"/>
        </w:rPr>
        <w:t>二、收入决算情况说明</w:t>
      </w:r>
      <w:r>
        <w:rPr>
          <w:rFonts w:hint="eastAsia" w:ascii="黑体" w:hAnsi="黑体" w:eastAsia="黑体" w:cs="黑体"/>
          <w:bCs/>
          <w:color w:val="000000"/>
          <w:sz w:val="32"/>
          <w:szCs w:val="32"/>
          <w:highlight w:val="none"/>
        </w:rPr>
        <w:br w:type="textWrapping"/>
      </w:r>
      <w:r>
        <w:rPr>
          <w:rFonts w:hint="eastAsia" w:ascii="仿宋_GB2312" w:hAnsi="ˎ̥" w:eastAsia="仿宋_GB2312"/>
          <w:color w:val="000000"/>
          <w:sz w:val="32"/>
          <w:szCs w:val="32"/>
          <w:highlight w:val="none"/>
        </w:rPr>
        <w:t xml:space="preserve">    </w:t>
      </w:r>
      <w:r>
        <w:rPr>
          <w:rFonts w:hint="eastAsia" w:ascii="仿宋_GB2312" w:hAnsi="ˎ̥" w:eastAsia="仿宋_GB2312"/>
          <w:sz w:val="32"/>
          <w:szCs w:val="32"/>
        </w:rPr>
        <w:t>本年收入合计</w:t>
      </w:r>
      <w:r>
        <w:rPr>
          <w:rFonts w:hint="eastAsia" w:ascii="仿宋_GB2312" w:hAnsi="ˎ̥" w:eastAsia="仿宋_GB2312"/>
          <w:sz w:val="32"/>
          <w:szCs w:val="32"/>
          <w:lang w:val="en-US" w:eastAsia="zh-CN"/>
        </w:rPr>
        <w:t>296.69</w:t>
      </w:r>
      <w:r>
        <w:rPr>
          <w:rFonts w:hint="eastAsia" w:ascii="仿宋_GB2312" w:hAnsi="ˎ̥" w:eastAsia="仿宋_GB2312"/>
          <w:sz w:val="32"/>
          <w:szCs w:val="32"/>
        </w:rPr>
        <w:t>万元，其中：财政拨款收入</w:t>
      </w:r>
      <w:r>
        <w:rPr>
          <w:rFonts w:hint="eastAsia" w:ascii="仿宋_GB2312" w:hAnsi="ˎ̥" w:eastAsia="仿宋_GB2312"/>
          <w:sz w:val="32"/>
          <w:szCs w:val="32"/>
          <w:lang w:val="en-US" w:eastAsia="zh-CN"/>
        </w:rPr>
        <w:t>296.69</w:t>
      </w:r>
      <w:r>
        <w:rPr>
          <w:rFonts w:hint="eastAsia" w:ascii="仿宋_GB2312" w:hAnsi="ˎ̥" w:eastAsia="仿宋_GB2312"/>
          <w:sz w:val="32"/>
          <w:szCs w:val="32"/>
        </w:rPr>
        <w:t>万元，占</w:t>
      </w:r>
      <w:r>
        <w:rPr>
          <w:rFonts w:hint="eastAsia" w:ascii="仿宋_GB2312" w:hAnsi="ˎ̥" w:eastAsia="仿宋_GB2312"/>
          <w:sz w:val="32"/>
          <w:szCs w:val="32"/>
          <w:lang w:val="en-US" w:eastAsia="zh-CN"/>
        </w:rPr>
        <w:t>100</w:t>
      </w:r>
      <w:r>
        <w:rPr>
          <w:rFonts w:hint="eastAsia" w:ascii="仿宋_GB2312" w:hAnsi="ˎ̥" w:eastAsia="仿宋_GB2312"/>
          <w:sz w:val="32"/>
          <w:szCs w:val="32"/>
        </w:rPr>
        <w:t>%；上级补助收入</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%；事业收入</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%；经营收入</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%；附属单位上缴收入</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%；其他收入</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bCs/>
          <w:color w:val="000000"/>
          <w:sz w:val="32"/>
          <w:szCs w:val="32"/>
          <w:highlight w:val="none"/>
        </w:rPr>
      </w:pPr>
      <w:r>
        <w:rPr>
          <w:rFonts w:hint="eastAsia" w:ascii="仿宋_GB2312" w:hAnsi="ˎ̥" w:eastAsia="仿宋_GB2312"/>
          <w:color w:val="000000"/>
          <w:sz w:val="32"/>
          <w:szCs w:val="32"/>
          <w:highlight w:val="none"/>
          <w:lang w:val="en-US" w:eastAsia="zh-CN"/>
        </w:rPr>
        <w:t xml:space="preserve">    </w:t>
      </w:r>
      <w:r>
        <w:rPr>
          <w:rFonts w:hint="eastAsia" w:ascii="黑体" w:hAnsi="黑体" w:eastAsia="黑体" w:cs="黑体"/>
          <w:bCs/>
          <w:color w:val="000000"/>
          <w:sz w:val="32"/>
          <w:szCs w:val="32"/>
          <w:highlight w:val="none"/>
        </w:rPr>
        <w:t>三、支出决算情况说明</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本年支出合计</w:t>
      </w:r>
      <w:r>
        <w:rPr>
          <w:rFonts w:hint="eastAsia" w:ascii="仿宋_GB2312" w:hAnsi="ˎ̥" w:eastAsia="仿宋_GB2312"/>
          <w:sz w:val="32"/>
          <w:szCs w:val="32"/>
          <w:lang w:val="en-US" w:eastAsia="zh-CN"/>
        </w:rPr>
        <w:t>296.69</w:t>
      </w:r>
      <w:r>
        <w:rPr>
          <w:rFonts w:hint="eastAsia" w:ascii="仿宋_GB2312" w:hAnsi="ˎ̥" w:eastAsia="仿宋_GB2312"/>
          <w:sz w:val="32"/>
          <w:szCs w:val="32"/>
        </w:rPr>
        <w:t>万元，其中：基本支出</w:t>
      </w:r>
      <w:r>
        <w:rPr>
          <w:rFonts w:hint="eastAsia" w:ascii="仿宋_GB2312" w:hAnsi="ˎ̥" w:eastAsia="仿宋_GB2312"/>
          <w:sz w:val="32"/>
          <w:szCs w:val="32"/>
          <w:lang w:val="en-US" w:eastAsia="zh-CN"/>
        </w:rPr>
        <w:t>170.31</w:t>
      </w:r>
      <w:r>
        <w:rPr>
          <w:rFonts w:hint="eastAsia" w:ascii="仿宋_GB2312" w:hAnsi="ˎ̥" w:eastAsia="仿宋_GB2312"/>
          <w:sz w:val="32"/>
          <w:szCs w:val="32"/>
        </w:rPr>
        <w:t>万元，占</w:t>
      </w:r>
      <w:r>
        <w:rPr>
          <w:rFonts w:hint="eastAsia" w:ascii="仿宋_GB2312" w:hAnsi="ˎ̥" w:eastAsia="仿宋_GB2312"/>
          <w:sz w:val="32"/>
          <w:szCs w:val="32"/>
          <w:lang w:val="en-US" w:eastAsia="zh-CN"/>
        </w:rPr>
        <w:t>57.4</w:t>
      </w:r>
      <w:r>
        <w:rPr>
          <w:rFonts w:hint="eastAsia" w:ascii="仿宋_GB2312" w:hAnsi="ˎ̥" w:eastAsia="仿宋_GB2312"/>
          <w:sz w:val="32"/>
          <w:szCs w:val="32"/>
        </w:rPr>
        <w:t>%；项目支出</w:t>
      </w:r>
      <w:r>
        <w:rPr>
          <w:rFonts w:hint="eastAsia" w:ascii="仿宋_GB2312" w:hAnsi="ˎ̥" w:eastAsia="仿宋_GB2312"/>
          <w:sz w:val="32"/>
          <w:szCs w:val="32"/>
          <w:lang w:val="en-US" w:eastAsia="zh-CN"/>
        </w:rPr>
        <w:t>126.37</w:t>
      </w:r>
      <w:r>
        <w:rPr>
          <w:rFonts w:hint="eastAsia" w:ascii="仿宋_GB2312" w:hAnsi="ˎ̥" w:eastAsia="仿宋_GB2312"/>
          <w:sz w:val="32"/>
          <w:szCs w:val="32"/>
        </w:rPr>
        <w:t>万元，占</w:t>
      </w:r>
      <w:r>
        <w:rPr>
          <w:rFonts w:hint="eastAsia" w:ascii="仿宋_GB2312" w:hAnsi="ˎ̥" w:eastAsia="仿宋_GB2312"/>
          <w:sz w:val="32"/>
          <w:szCs w:val="32"/>
          <w:lang w:val="en-US" w:eastAsia="zh-CN"/>
        </w:rPr>
        <w:t>42.6</w:t>
      </w:r>
      <w:r>
        <w:rPr>
          <w:rFonts w:hint="eastAsia" w:ascii="仿宋_GB2312" w:hAnsi="ˎ̥" w:eastAsia="仿宋_GB2312"/>
          <w:sz w:val="32"/>
          <w:szCs w:val="32"/>
        </w:rPr>
        <w:t>%；上缴上级支出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%；经营支出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%；对附属单位补助支出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四、财政拨款收入支出决算总体情况说明</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hint="eastAsia" w:ascii="仿宋_GB2312" w:hAnsi="ˎ̥" w:eastAsia="仿宋_GB2312"/>
          <w:sz w:val="32"/>
          <w:szCs w:val="32"/>
          <w:lang w:val="en-US" w:eastAsia="zh-CN"/>
        </w:rPr>
        <w:t>2</w:t>
      </w:r>
      <w:r>
        <w:rPr>
          <w:rFonts w:hint="eastAsia" w:ascii="仿宋_GB2312" w:hAnsi="ˎ̥" w:eastAsia="仿宋_GB2312"/>
          <w:sz w:val="32"/>
          <w:szCs w:val="32"/>
        </w:rPr>
        <w:t>年度财政拨款收入总计</w:t>
      </w:r>
      <w:r>
        <w:rPr>
          <w:rFonts w:hint="eastAsia" w:ascii="仿宋_GB2312" w:hAnsi="ˎ̥" w:eastAsia="仿宋_GB2312"/>
          <w:sz w:val="32"/>
          <w:szCs w:val="32"/>
          <w:lang w:val="en-US" w:eastAsia="zh-CN"/>
        </w:rPr>
        <w:t>296.69</w:t>
      </w:r>
      <w:r>
        <w:rPr>
          <w:rFonts w:hint="eastAsia" w:ascii="仿宋_GB2312" w:hAnsi="ˎ̥" w:eastAsia="仿宋_GB2312"/>
          <w:sz w:val="32"/>
          <w:szCs w:val="32"/>
        </w:rPr>
        <w:t>万元，支出总计</w:t>
      </w:r>
      <w:r>
        <w:rPr>
          <w:rFonts w:hint="eastAsia" w:ascii="仿宋_GB2312" w:hAnsi="ˎ̥" w:eastAsia="仿宋_GB2312"/>
          <w:sz w:val="32"/>
          <w:szCs w:val="32"/>
          <w:lang w:val="en-US" w:eastAsia="zh-CN"/>
        </w:rPr>
        <w:t>296.69</w:t>
      </w:r>
      <w:r>
        <w:rPr>
          <w:rFonts w:hint="eastAsia" w:ascii="仿宋_GB2312" w:hAnsi="ˎ̥" w:eastAsia="仿宋_GB2312"/>
          <w:sz w:val="32"/>
          <w:szCs w:val="32"/>
        </w:rPr>
        <w:t xml:space="preserve"> 万元。与202</w:t>
      </w:r>
      <w:r>
        <w:rPr>
          <w:rFonts w:hint="eastAsia" w:ascii="仿宋_GB2312" w:hAnsi="ˎ̥" w:eastAsia="仿宋_GB2312"/>
          <w:sz w:val="32"/>
          <w:szCs w:val="32"/>
          <w:lang w:val="en-US" w:eastAsia="zh-CN"/>
        </w:rPr>
        <w:t>1</w:t>
      </w:r>
      <w:r>
        <w:rPr>
          <w:rFonts w:hint="eastAsia" w:ascii="仿宋_GB2312" w:hAnsi="ˎ̥" w:eastAsia="仿宋_GB2312"/>
          <w:sz w:val="32"/>
          <w:szCs w:val="32"/>
        </w:rPr>
        <w:t>年度相比，财政拨款收入</w:t>
      </w:r>
      <w:r>
        <w:rPr>
          <w:rFonts w:hint="eastAsia" w:ascii="仿宋_GB2312" w:hAnsi="ˎ̥" w:eastAsia="仿宋_GB2312"/>
          <w:sz w:val="32"/>
          <w:szCs w:val="32"/>
          <w:lang w:eastAsia="zh-CN"/>
        </w:rPr>
        <w:t>总计增加</w:t>
      </w:r>
      <w:r>
        <w:rPr>
          <w:rFonts w:hint="eastAsia" w:ascii="仿宋_GB2312" w:hAnsi="ˎ̥" w:eastAsia="仿宋_GB2312"/>
          <w:sz w:val="32"/>
          <w:szCs w:val="32"/>
          <w:lang w:val="en-US" w:eastAsia="zh-CN"/>
        </w:rPr>
        <w:t>14.66万元，增长5.2%，</w:t>
      </w:r>
      <w:r>
        <w:rPr>
          <w:rFonts w:hint="eastAsia" w:ascii="仿宋_GB2312" w:hAnsi="ˎ̥" w:eastAsia="仿宋_GB2312"/>
          <w:sz w:val="32"/>
          <w:szCs w:val="32"/>
        </w:rPr>
        <w:t>支出总计减少</w:t>
      </w:r>
      <w:r>
        <w:rPr>
          <w:rFonts w:hint="eastAsia" w:ascii="仿宋_GB2312" w:hAnsi="ˎ̥" w:eastAsia="仿宋_GB2312"/>
          <w:sz w:val="32"/>
          <w:szCs w:val="32"/>
          <w:lang w:val="en-US" w:eastAsia="zh-CN"/>
        </w:rPr>
        <w:t>1.98</w:t>
      </w:r>
      <w:r>
        <w:rPr>
          <w:rFonts w:hint="eastAsia" w:ascii="仿宋_GB2312" w:hAnsi="ˎ̥" w:eastAsia="仿宋_GB2312"/>
          <w:sz w:val="32"/>
          <w:szCs w:val="32"/>
        </w:rPr>
        <w:t>万元，下降</w:t>
      </w:r>
      <w:r>
        <w:rPr>
          <w:rFonts w:hint="eastAsia" w:ascii="仿宋_GB2312" w:hAnsi="ˎ̥" w:eastAsia="仿宋_GB2312"/>
          <w:sz w:val="32"/>
          <w:szCs w:val="32"/>
          <w:lang w:val="en-US" w:eastAsia="zh-CN"/>
        </w:rPr>
        <w:t>0.1</w:t>
      </w:r>
      <w:r>
        <w:rPr>
          <w:rFonts w:hint="eastAsia" w:ascii="仿宋_GB2312" w:hAnsi="ˎ̥" w:eastAsia="仿宋_GB2312"/>
          <w:sz w:val="32"/>
          <w:szCs w:val="32"/>
        </w:rPr>
        <w:t>%。主要原因：一是</w:t>
      </w:r>
      <w:r>
        <w:rPr>
          <w:rFonts w:hint="eastAsia" w:ascii="仿宋_GB2312" w:hAnsi="ˎ̥" w:eastAsia="仿宋_GB2312"/>
          <w:sz w:val="32"/>
          <w:szCs w:val="32"/>
          <w:lang w:eastAsia="zh-CN"/>
        </w:rPr>
        <w:t>财政拨款收入</w:t>
      </w:r>
      <w:r>
        <w:rPr>
          <w:rFonts w:hint="eastAsia" w:ascii="仿宋_GB2312" w:hAnsi="ˎ̥" w:eastAsia="仿宋_GB2312"/>
          <w:sz w:val="32"/>
          <w:szCs w:val="32"/>
        </w:rPr>
        <w:t>；二是</w:t>
      </w:r>
      <w:r>
        <w:rPr>
          <w:rFonts w:hint="eastAsia" w:ascii="仿宋_GB2312" w:hAnsi="ˎ̥" w:eastAsia="仿宋_GB2312"/>
          <w:sz w:val="32"/>
          <w:szCs w:val="32"/>
          <w:lang w:eastAsia="zh-CN"/>
        </w:rPr>
        <w:t>受新冠疫情影响，支出略有下降</w:t>
      </w:r>
      <w:r>
        <w:rPr>
          <w:rFonts w:hint="eastAsia" w:ascii="仿宋_GB2312" w:hAnsi="ˎ̥" w:eastAsia="仿宋_GB2312"/>
          <w:sz w:val="32"/>
          <w:szCs w:val="32"/>
        </w:rPr>
        <w:t>。</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财政拨款年初结转结余</w:t>
      </w:r>
      <w:r>
        <w:rPr>
          <w:rFonts w:hint="eastAsia" w:ascii="仿宋_GB2312" w:hAnsi="ˎ̥" w:eastAsia="仿宋_GB2312"/>
          <w:sz w:val="32"/>
          <w:szCs w:val="32"/>
          <w:lang w:val="en-US" w:eastAsia="zh-CN"/>
        </w:rPr>
        <w:t>0</w:t>
      </w:r>
      <w:r>
        <w:rPr>
          <w:rFonts w:hint="eastAsia" w:ascii="仿宋_GB2312" w:hAnsi="ˎ̥" w:eastAsia="仿宋_GB2312"/>
          <w:sz w:val="32"/>
          <w:szCs w:val="32"/>
        </w:rPr>
        <w:t>万元，主要是</w:t>
      </w:r>
      <w:r>
        <w:rPr>
          <w:rFonts w:hint="eastAsia" w:ascii="仿宋_GB2312" w:hAnsi="ˎ̥" w:eastAsia="仿宋_GB2312"/>
          <w:sz w:val="32"/>
          <w:szCs w:val="32"/>
          <w:lang w:eastAsia="zh-CN"/>
        </w:rPr>
        <w:t>没有结转结余</w:t>
      </w:r>
      <w:r>
        <w:rPr>
          <w:rFonts w:hint="eastAsia" w:ascii="仿宋_GB2312" w:hAnsi="ˎ̥" w:eastAsia="仿宋_GB2312"/>
          <w:sz w:val="32"/>
          <w:szCs w:val="32"/>
        </w:rPr>
        <w:t>，较202</w:t>
      </w:r>
      <w:r>
        <w:rPr>
          <w:rFonts w:hint="eastAsia" w:ascii="仿宋_GB2312" w:hAnsi="ˎ̥" w:eastAsia="仿宋_GB2312"/>
          <w:sz w:val="32"/>
          <w:szCs w:val="32"/>
          <w:lang w:val="en-US" w:eastAsia="zh-CN"/>
        </w:rPr>
        <w:t>1</w:t>
      </w:r>
      <w:r>
        <w:rPr>
          <w:rFonts w:hint="eastAsia" w:ascii="仿宋_GB2312" w:hAnsi="ˎ̥" w:eastAsia="仿宋_GB2312"/>
          <w:sz w:val="32"/>
          <w:szCs w:val="32"/>
        </w:rPr>
        <w:t>年度决算数增加</w:t>
      </w:r>
      <w:r>
        <w:rPr>
          <w:rFonts w:hint="eastAsia" w:ascii="仿宋_GB2312" w:hAnsi="ˎ̥" w:eastAsia="仿宋_GB2312"/>
          <w:sz w:val="32"/>
          <w:szCs w:val="32"/>
          <w:lang w:val="en-US" w:eastAsia="zh-CN"/>
        </w:rPr>
        <w:t>0</w:t>
      </w:r>
      <w:r>
        <w:rPr>
          <w:rFonts w:hint="eastAsia" w:ascii="仿宋_GB2312" w:hAnsi="ˎ̥" w:eastAsia="仿宋_GB2312"/>
          <w:sz w:val="32"/>
          <w:szCs w:val="32"/>
        </w:rPr>
        <w:t>万元，增长</w:t>
      </w:r>
      <w:r>
        <w:rPr>
          <w:rFonts w:hint="eastAsia" w:ascii="仿宋_GB2312" w:hAnsi="ˎ̥" w:eastAsia="仿宋_GB2312"/>
          <w:sz w:val="32"/>
          <w:szCs w:val="32"/>
          <w:lang w:val="en-US" w:eastAsia="zh-CN"/>
        </w:rPr>
        <w:t>0</w:t>
      </w:r>
      <w:r>
        <w:rPr>
          <w:rFonts w:hint="eastAsia" w:ascii="仿宋_GB2312" w:hAnsi="ˎ̥" w:eastAsia="仿宋_GB2312"/>
          <w:sz w:val="32"/>
          <w:szCs w:val="32"/>
        </w:rPr>
        <w:t>%，主要原因</w:t>
      </w:r>
      <w:r>
        <w:rPr>
          <w:rFonts w:hint="eastAsia" w:ascii="仿宋_GB2312" w:hAnsi="ˎ̥" w:eastAsia="仿宋_GB2312"/>
          <w:sz w:val="32"/>
          <w:szCs w:val="32"/>
          <w:lang w:eastAsia="zh-CN"/>
        </w:rPr>
        <w:t>：没有结转结余</w:t>
      </w:r>
      <w:r>
        <w:rPr>
          <w:rFonts w:hint="eastAsia" w:ascii="仿宋_GB2312" w:hAnsi="ˎ̥" w:eastAsia="仿宋_GB2312"/>
          <w:sz w:val="32"/>
          <w:szCs w:val="32"/>
        </w:rPr>
        <w:t>。</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财政拨款年末结转结余</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color w:val="000000"/>
          <w:sz w:val="32"/>
          <w:szCs w:val="32"/>
          <w:highlight w:val="none"/>
        </w:rPr>
        <w:t>主要是</w:t>
      </w:r>
      <w:r>
        <w:rPr>
          <w:rFonts w:hint="eastAsia" w:ascii="仿宋_GB2312" w:hAnsi="ˎ̥" w:eastAsia="仿宋_GB2312"/>
          <w:color w:val="000000"/>
          <w:sz w:val="32"/>
          <w:szCs w:val="32"/>
          <w:highlight w:val="none"/>
          <w:lang w:eastAsia="zh-CN"/>
        </w:rPr>
        <w:t>没有结转结余，</w:t>
      </w:r>
      <w:r>
        <w:rPr>
          <w:rFonts w:hint="eastAsia" w:ascii="仿宋_GB2312" w:hAnsi="ˎ̥" w:eastAsia="仿宋_GB2312"/>
          <w:sz w:val="32"/>
          <w:szCs w:val="32"/>
        </w:rPr>
        <w:t>较202</w:t>
      </w:r>
      <w:r>
        <w:rPr>
          <w:rFonts w:hint="eastAsia" w:ascii="仿宋_GB2312" w:hAnsi="ˎ̥" w:eastAsia="仿宋_GB2312"/>
          <w:sz w:val="32"/>
          <w:szCs w:val="32"/>
          <w:lang w:val="en-US" w:eastAsia="zh-CN"/>
        </w:rPr>
        <w:t>1</w:t>
      </w:r>
      <w:r>
        <w:rPr>
          <w:rFonts w:hint="eastAsia" w:ascii="仿宋_GB2312" w:hAnsi="ˎ̥" w:eastAsia="仿宋_GB2312"/>
          <w:sz w:val="32"/>
          <w:szCs w:val="32"/>
        </w:rPr>
        <w:t>年度年末决算数</w:t>
      </w:r>
      <w:r>
        <w:rPr>
          <w:rFonts w:hint="eastAsia" w:ascii="仿宋_GB2312" w:hAnsi="ˎ̥" w:eastAsia="仿宋_GB2312"/>
          <w:sz w:val="32"/>
          <w:szCs w:val="32"/>
          <w:lang w:eastAsia="zh-CN"/>
        </w:rPr>
        <w:t>增加</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eastAsia="zh-CN"/>
        </w:rPr>
        <w:t>增长</w:t>
      </w:r>
      <w:r>
        <w:rPr>
          <w:rFonts w:hint="eastAsia" w:ascii="仿宋_GB2312" w:hAnsi="ˎ̥" w:eastAsia="仿宋_GB2312"/>
          <w:sz w:val="32"/>
          <w:szCs w:val="32"/>
          <w:lang w:val="en-US" w:eastAsia="zh-CN"/>
        </w:rPr>
        <w:t>0</w:t>
      </w:r>
      <w:r>
        <w:rPr>
          <w:rFonts w:hint="eastAsia" w:ascii="仿宋_GB2312" w:hAnsi="ˎ̥"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五、一般公共预算财政拨款支出决算情况说明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bookmarkStart w:id="77" w:name="_Toc13694_WPSOffice_Level2"/>
      <w:bookmarkStart w:id="78" w:name="_Toc17398_WPSOffice_Level2"/>
      <w:bookmarkStart w:id="79" w:name="_Toc23005_WPSOffice_Level2"/>
      <w:bookmarkStart w:id="80" w:name="_Toc21737_WPSOffice_Level2"/>
      <w:bookmarkStart w:id="81" w:name="_Toc19665_WPSOffice_Level2"/>
      <w:bookmarkStart w:id="82" w:name="_Toc9989_WPSOffice_Level2"/>
      <w:r>
        <w:rPr>
          <w:rFonts w:hint="eastAsia" w:ascii="楷体" w:hAnsi="楷体" w:eastAsia="楷体" w:cs="楷体"/>
          <w:color w:val="000000"/>
          <w:sz w:val="32"/>
          <w:szCs w:val="32"/>
          <w:highlight w:val="none"/>
        </w:rPr>
        <w:t>（一）一般公共预算财政拨款支出决算总体情况</w:t>
      </w:r>
      <w:bookmarkEnd w:id="77"/>
      <w:bookmarkEnd w:id="78"/>
      <w:r>
        <w:rPr>
          <w:rFonts w:hint="eastAsia" w:ascii="楷体" w:hAnsi="楷体" w:eastAsia="楷体" w:cs="楷体"/>
          <w:color w:val="000000"/>
          <w:sz w:val="32"/>
          <w:szCs w:val="32"/>
          <w:highlight w:val="none"/>
        </w:rPr>
        <w:t>。</w:t>
      </w:r>
      <w:bookmarkEnd w:id="79"/>
      <w:bookmarkEnd w:id="80"/>
      <w:bookmarkEnd w:id="81"/>
      <w:bookmarkEnd w:id="82"/>
    </w:p>
    <w:p>
      <w:pPr>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hint="eastAsia" w:ascii="仿宋_GB2312" w:hAnsi="ˎ̥" w:eastAsia="仿宋_GB2312"/>
          <w:sz w:val="32"/>
          <w:szCs w:val="32"/>
          <w:lang w:val="en-US" w:eastAsia="zh-CN"/>
        </w:rPr>
        <w:t>2</w:t>
      </w:r>
      <w:r>
        <w:rPr>
          <w:rFonts w:hint="eastAsia" w:ascii="仿宋_GB2312" w:hAnsi="ˎ̥" w:eastAsia="仿宋_GB2312"/>
          <w:sz w:val="32"/>
          <w:szCs w:val="32"/>
        </w:rPr>
        <w:t>年度一般公共预算财政拨款支出</w:t>
      </w:r>
      <w:r>
        <w:rPr>
          <w:rFonts w:hint="eastAsia" w:ascii="仿宋_GB2312" w:hAnsi="ˎ̥" w:eastAsia="仿宋_GB2312"/>
          <w:sz w:val="32"/>
          <w:szCs w:val="32"/>
          <w:lang w:val="en-US" w:eastAsia="zh-CN"/>
        </w:rPr>
        <w:t>296.69</w:t>
      </w:r>
      <w:r>
        <w:rPr>
          <w:rFonts w:hint="eastAsia" w:ascii="仿宋_GB2312" w:hAnsi="ˎ̥" w:eastAsia="仿宋_GB2312"/>
          <w:sz w:val="32"/>
          <w:szCs w:val="32"/>
        </w:rPr>
        <w:t>万元，占本年支出合计的</w:t>
      </w:r>
      <w:r>
        <w:rPr>
          <w:rFonts w:hint="eastAsia" w:ascii="仿宋_GB2312" w:hAnsi="ˎ̥" w:eastAsia="仿宋_GB2312"/>
          <w:sz w:val="32"/>
          <w:szCs w:val="32"/>
          <w:lang w:val="en-US" w:eastAsia="zh-CN"/>
        </w:rPr>
        <w:t>100</w:t>
      </w:r>
      <w:r>
        <w:rPr>
          <w:rFonts w:hint="eastAsia" w:ascii="仿宋_GB2312" w:hAnsi="ˎ̥" w:eastAsia="仿宋_GB2312"/>
          <w:sz w:val="32"/>
          <w:szCs w:val="32"/>
        </w:rPr>
        <w:t>%。与202</w:t>
      </w:r>
      <w:r>
        <w:rPr>
          <w:rFonts w:hint="eastAsia" w:ascii="仿宋_GB2312" w:hAnsi="ˎ̥" w:eastAsia="仿宋_GB2312"/>
          <w:sz w:val="32"/>
          <w:szCs w:val="32"/>
          <w:lang w:val="en-US" w:eastAsia="zh-CN"/>
        </w:rPr>
        <w:t>1</w:t>
      </w:r>
      <w:r>
        <w:rPr>
          <w:rFonts w:hint="eastAsia" w:ascii="仿宋_GB2312" w:hAnsi="ˎ̥" w:eastAsia="仿宋_GB2312"/>
          <w:sz w:val="32"/>
          <w:szCs w:val="32"/>
        </w:rPr>
        <w:t>年度相比，一般公共预算财政拨款支出减少</w:t>
      </w:r>
      <w:r>
        <w:rPr>
          <w:rFonts w:hint="eastAsia" w:ascii="仿宋_GB2312" w:hAnsi="ˎ̥" w:eastAsia="仿宋_GB2312"/>
          <w:sz w:val="32"/>
          <w:szCs w:val="32"/>
          <w:lang w:val="en-US" w:eastAsia="zh-CN"/>
        </w:rPr>
        <w:t>0.98</w:t>
      </w:r>
      <w:r>
        <w:rPr>
          <w:rFonts w:hint="eastAsia" w:ascii="仿宋_GB2312" w:hAnsi="ˎ̥" w:eastAsia="仿宋_GB2312"/>
          <w:sz w:val="32"/>
          <w:szCs w:val="32"/>
        </w:rPr>
        <w:t>万元，下降</w:t>
      </w:r>
      <w:r>
        <w:rPr>
          <w:rFonts w:hint="eastAsia" w:ascii="仿宋_GB2312" w:hAnsi="ˎ̥" w:eastAsia="仿宋_GB2312"/>
          <w:sz w:val="32"/>
          <w:szCs w:val="32"/>
          <w:lang w:val="en-US" w:eastAsia="zh-CN"/>
        </w:rPr>
        <w:t>0.1</w:t>
      </w:r>
      <w:r>
        <w:rPr>
          <w:rFonts w:hint="eastAsia" w:ascii="仿宋_GB2312" w:hAnsi="ˎ̥" w:eastAsia="仿宋_GB2312"/>
          <w:sz w:val="32"/>
          <w:szCs w:val="32"/>
        </w:rPr>
        <w:t>%，主要原因</w:t>
      </w:r>
      <w:r>
        <w:rPr>
          <w:rFonts w:hint="eastAsia" w:ascii="仿宋_GB2312" w:hAnsi="ˎ̥" w:eastAsia="仿宋_GB2312"/>
          <w:sz w:val="32"/>
          <w:szCs w:val="32"/>
          <w:lang w:eastAsia="zh-CN"/>
        </w:rPr>
        <w:t>：受疫情影响，部分经费收紧</w:t>
      </w:r>
      <w:r>
        <w:rPr>
          <w:rFonts w:hint="eastAsia" w:ascii="仿宋_GB2312" w:hAnsi="ˎ̥"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bookmarkStart w:id="83" w:name="_Toc2711_WPSOffice_Level2"/>
      <w:bookmarkStart w:id="84" w:name="_Toc18793_WPSOffice_Level2"/>
      <w:bookmarkStart w:id="85" w:name="_Toc27767_WPSOffice_Level2"/>
      <w:bookmarkStart w:id="86" w:name="_Toc19535_WPSOffice_Level2"/>
      <w:bookmarkStart w:id="87" w:name="_Toc23864_WPSOffice_Level2"/>
      <w:bookmarkStart w:id="88" w:name="_Toc19075_WPSOffice_Level2"/>
      <w:r>
        <w:rPr>
          <w:rFonts w:hint="eastAsia" w:ascii="楷体" w:hAnsi="楷体" w:eastAsia="楷体" w:cs="楷体"/>
          <w:color w:val="000000"/>
          <w:sz w:val="32"/>
          <w:szCs w:val="32"/>
          <w:highlight w:val="none"/>
        </w:rPr>
        <w:t>（二）一般公共预算财政拨款支出决算结构情况</w:t>
      </w:r>
      <w:bookmarkEnd w:id="83"/>
      <w:bookmarkEnd w:id="84"/>
      <w:r>
        <w:rPr>
          <w:rFonts w:hint="eastAsia" w:ascii="楷体" w:hAnsi="楷体" w:eastAsia="楷体" w:cs="楷体"/>
          <w:color w:val="000000"/>
          <w:sz w:val="32"/>
          <w:szCs w:val="32"/>
          <w:highlight w:val="none"/>
        </w:rPr>
        <w:t>。</w:t>
      </w:r>
      <w:bookmarkEnd w:id="85"/>
      <w:bookmarkEnd w:id="86"/>
      <w:bookmarkEnd w:id="87"/>
      <w:bookmarkEnd w:id="88"/>
    </w:p>
    <w:p>
      <w:pPr>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hint="eastAsia" w:ascii="仿宋_GB2312" w:hAnsi="ˎ̥" w:eastAsia="仿宋_GB2312"/>
          <w:sz w:val="32"/>
          <w:szCs w:val="32"/>
          <w:lang w:val="en-US" w:eastAsia="zh-CN"/>
        </w:rPr>
        <w:t>2</w:t>
      </w:r>
      <w:r>
        <w:rPr>
          <w:rFonts w:hint="eastAsia" w:ascii="仿宋_GB2312" w:hAnsi="ˎ̥" w:eastAsia="仿宋_GB2312"/>
          <w:sz w:val="32"/>
          <w:szCs w:val="32"/>
        </w:rPr>
        <w:t>年度一般公共预算财政拨款支出</w:t>
      </w:r>
      <w:r>
        <w:rPr>
          <w:rFonts w:hint="eastAsia" w:ascii="仿宋_GB2312" w:hAnsi="ˎ̥" w:eastAsia="仿宋_GB2312"/>
          <w:sz w:val="32"/>
          <w:szCs w:val="32"/>
          <w:lang w:val="en-US" w:eastAsia="zh-CN"/>
        </w:rPr>
        <w:t>296.69</w:t>
      </w:r>
      <w:r>
        <w:rPr>
          <w:rFonts w:hint="eastAsia" w:ascii="仿宋_GB2312" w:hAnsi="ˎ̥" w:eastAsia="仿宋_GB2312"/>
          <w:sz w:val="32"/>
          <w:szCs w:val="32"/>
        </w:rPr>
        <w:t>万元，主要用于以下方面：</w:t>
      </w:r>
      <w:r>
        <w:rPr>
          <w:rFonts w:hint="eastAsia" w:ascii="仿宋_GB2312" w:hAnsi="ˎ̥" w:eastAsia="仿宋_GB2312"/>
          <w:b/>
          <w:sz w:val="32"/>
          <w:szCs w:val="32"/>
        </w:rPr>
        <w:t>一般公共服务（类）</w:t>
      </w:r>
      <w:r>
        <w:rPr>
          <w:rFonts w:hint="eastAsia" w:ascii="仿宋_GB2312" w:hAnsi="ˎ̥" w:eastAsia="仿宋_GB2312"/>
          <w:sz w:val="32"/>
          <w:szCs w:val="32"/>
        </w:rPr>
        <w:t>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w:t>
      </w:r>
      <w:r>
        <w:rPr>
          <w:rFonts w:hint="eastAsia" w:ascii="仿宋_GB2312" w:hAnsi="ˎ̥" w:eastAsia="仿宋_GB2312"/>
          <w:b/>
          <w:sz w:val="32"/>
          <w:szCs w:val="32"/>
        </w:rPr>
        <w:t>社会保障和就业（类）</w:t>
      </w:r>
      <w:r>
        <w:rPr>
          <w:rFonts w:hint="eastAsia" w:ascii="仿宋_GB2312" w:hAnsi="ˎ̥" w:eastAsia="仿宋_GB2312"/>
          <w:sz w:val="32"/>
          <w:szCs w:val="32"/>
        </w:rPr>
        <w:t>支出</w:t>
      </w:r>
      <w:r>
        <w:rPr>
          <w:rFonts w:hint="eastAsia" w:ascii="仿宋_GB2312" w:hAnsi="ˎ̥" w:eastAsia="仿宋_GB2312"/>
          <w:sz w:val="32"/>
          <w:szCs w:val="32"/>
          <w:lang w:val="en-US" w:eastAsia="zh-CN"/>
        </w:rPr>
        <w:t>31.21</w:t>
      </w:r>
      <w:r>
        <w:rPr>
          <w:rFonts w:hint="eastAsia" w:ascii="仿宋_GB2312" w:hAnsi="ˎ̥" w:eastAsia="仿宋_GB2312"/>
          <w:sz w:val="32"/>
          <w:szCs w:val="32"/>
        </w:rPr>
        <w:t>万元，占</w:t>
      </w:r>
      <w:r>
        <w:rPr>
          <w:rFonts w:hint="eastAsia" w:ascii="仿宋_GB2312" w:hAnsi="ˎ̥" w:eastAsia="仿宋_GB2312"/>
          <w:sz w:val="32"/>
          <w:szCs w:val="32"/>
          <w:lang w:val="en-US" w:eastAsia="zh-CN"/>
        </w:rPr>
        <w:t>10.5</w:t>
      </w:r>
      <w:r>
        <w:rPr>
          <w:rFonts w:hint="eastAsia" w:ascii="仿宋_GB2312" w:hAnsi="ˎ̥" w:eastAsia="仿宋_GB2312"/>
          <w:sz w:val="32"/>
          <w:szCs w:val="32"/>
        </w:rPr>
        <w:t>%；</w:t>
      </w:r>
      <w:r>
        <w:rPr>
          <w:rFonts w:hint="eastAsia" w:ascii="仿宋_GB2312" w:hAnsi="ˎ̥" w:eastAsia="仿宋_GB2312"/>
          <w:b/>
          <w:bCs/>
          <w:sz w:val="32"/>
          <w:szCs w:val="32"/>
        </w:rPr>
        <w:t>住房保障（类）</w:t>
      </w:r>
      <w:r>
        <w:rPr>
          <w:rFonts w:hint="eastAsia" w:ascii="仿宋_GB2312" w:hAnsi="ˎ̥" w:eastAsia="仿宋_GB2312"/>
          <w:sz w:val="32"/>
          <w:szCs w:val="32"/>
        </w:rPr>
        <w:t>支出</w:t>
      </w:r>
      <w:r>
        <w:rPr>
          <w:rFonts w:hint="eastAsia" w:ascii="仿宋_GB2312" w:hAnsi="ˎ̥" w:eastAsia="仿宋_GB2312"/>
          <w:sz w:val="32"/>
          <w:szCs w:val="32"/>
          <w:lang w:val="en-US" w:eastAsia="zh-CN"/>
        </w:rPr>
        <w:t>11.14</w:t>
      </w:r>
      <w:r>
        <w:rPr>
          <w:rFonts w:hint="eastAsia" w:ascii="仿宋_GB2312" w:hAnsi="ˎ̥" w:eastAsia="仿宋_GB2312"/>
          <w:sz w:val="32"/>
          <w:szCs w:val="32"/>
        </w:rPr>
        <w:t>万元，占</w:t>
      </w:r>
      <w:r>
        <w:rPr>
          <w:rFonts w:hint="eastAsia" w:ascii="仿宋_GB2312" w:hAnsi="ˎ̥" w:eastAsia="仿宋_GB2312"/>
          <w:sz w:val="32"/>
          <w:szCs w:val="32"/>
          <w:lang w:val="en-US" w:eastAsia="zh-CN"/>
        </w:rPr>
        <w:t>3.8</w:t>
      </w:r>
      <w:r>
        <w:rPr>
          <w:rFonts w:hint="eastAsia" w:ascii="仿宋_GB2312" w:hAnsi="ˎ̥" w:eastAsia="仿宋_GB2312"/>
          <w:sz w:val="32"/>
          <w:szCs w:val="32"/>
        </w:rPr>
        <w:t>%；</w:t>
      </w:r>
      <w:r>
        <w:rPr>
          <w:rFonts w:hint="eastAsia" w:ascii="仿宋_GB2312" w:hAnsi="ˎ̥" w:eastAsia="仿宋_GB2312"/>
          <w:b/>
          <w:bCs/>
          <w:sz w:val="32"/>
          <w:szCs w:val="32"/>
          <w:lang w:eastAsia="zh-CN"/>
        </w:rPr>
        <w:t>卫生健康支出</w:t>
      </w:r>
      <w:r>
        <w:rPr>
          <w:rFonts w:hint="eastAsia" w:ascii="仿宋_GB2312" w:hAnsi="ˎ̥" w:eastAsia="仿宋_GB2312"/>
          <w:sz w:val="32"/>
          <w:szCs w:val="32"/>
          <w:lang w:val="en-US" w:eastAsia="zh-CN"/>
        </w:rPr>
        <w:t>254.33万元，占85.7%</w:t>
      </w:r>
      <w:r>
        <w:rPr>
          <w:rFonts w:hint="eastAsia" w:ascii="仿宋_GB2312" w:hAnsi="ˎ̥"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bookmarkStart w:id="89" w:name="_Toc22318_WPSOffice_Level2"/>
      <w:bookmarkStart w:id="90" w:name="_Toc15415_WPSOffice_Level2"/>
      <w:bookmarkStart w:id="91" w:name="_Toc25136_WPSOffice_Level2"/>
      <w:bookmarkStart w:id="92" w:name="_Toc21701_WPSOffice_Level2"/>
      <w:bookmarkStart w:id="93" w:name="_Toc9502_WPSOffice_Level2"/>
      <w:bookmarkStart w:id="94" w:name="_Toc29364_WPSOffice_Level2"/>
      <w:r>
        <w:rPr>
          <w:rFonts w:hint="eastAsia" w:ascii="楷体" w:hAnsi="楷体" w:eastAsia="楷体" w:cs="楷体"/>
          <w:color w:val="000000"/>
          <w:sz w:val="32"/>
          <w:szCs w:val="32"/>
          <w:highlight w:val="none"/>
        </w:rPr>
        <w:t>（三）一般公共预算财政拨款支出决算具体情况。</w:t>
      </w:r>
      <w:bookmarkEnd w:id="89"/>
      <w:bookmarkEnd w:id="90"/>
      <w:bookmarkEnd w:id="91"/>
      <w:bookmarkEnd w:id="92"/>
      <w:bookmarkEnd w:id="93"/>
      <w:bookmarkEnd w:id="94"/>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2022年度一般公共预算财政拨款支出年初预算为</w:t>
      </w:r>
      <w:r>
        <w:rPr>
          <w:rFonts w:hint="eastAsia" w:ascii="仿宋_GB2312" w:hAnsi="ˎ̥" w:eastAsia="仿宋_GB2312"/>
          <w:color w:val="000000"/>
          <w:sz w:val="32"/>
          <w:szCs w:val="32"/>
          <w:highlight w:val="none"/>
          <w:lang w:val="en-US" w:eastAsia="zh-CN"/>
        </w:rPr>
        <w:t>208.24</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296.69</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142.5</w:t>
      </w:r>
      <w:r>
        <w:rPr>
          <w:rFonts w:hint="eastAsia" w:ascii="仿宋_GB2312" w:hAnsi="ˎ̥" w:eastAsia="仿宋_GB2312"/>
          <w:color w:val="000000"/>
          <w:sz w:val="32"/>
          <w:szCs w:val="32"/>
          <w:highlight w:val="none"/>
        </w:rPr>
        <w:t>%。其中：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b/>
          <w:color w:val="000000"/>
          <w:sz w:val="32"/>
          <w:szCs w:val="32"/>
          <w:highlight w:val="none"/>
        </w:rPr>
      </w:pPr>
      <w:r>
        <w:rPr>
          <w:rFonts w:hint="eastAsia" w:ascii="仿宋_GB2312" w:hAnsi="ˎ̥" w:eastAsia="仿宋_GB2312"/>
          <w:color w:val="000000"/>
          <w:sz w:val="32"/>
          <w:szCs w:val="32"/>
          <w:highlight w:val="none"/>
        </w:rPr>
        <w:t>1.</w:t>
      </w:r>
      <w:r>
        <w:rPr>
          <w:rFonts w:hint="eastAsia" w:ascii="仿宋_GB2312" w:hAnsi="ˎ̥" w:eastAsia="仿宋_GB2312"/>
          <w:b/>
          <w:color w:val="000000"/>
          <w:sz w:val="32"/>
          <w:szCs w:val="32"/>
          <w:highlight w:val="none"/>
        </w:rPr>
        <w:t>一般公共服务（类）人大事务（款）行政运行（项）。</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年初预算为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%。主要原因是</w:t>
      </w:r>
      <w:r>
        <w:rPr>
          <w:rFonts w:hint="eastAsia" w:ascii="仿宋_GB2312" w:hAnsi="仿宋_GB2312" w:eastAsia="仿宋_GB2312" w:cs="仿宋_GB2312"/>
          <w:color w:val="000000"/>
          <w:sz w:val="32"/>
          <w:szCs w:val="32"/>
        </w:rPr>
        <w:t>从事公益服务的公益一类事业单位</w:t>
      </w:r>
      <w:r>
        <w:rPr>
          <w:rFonts w:hint="eastAsia" w:ascii="仿宋_GB2312" w:hAnsi="ˎ̥" w:eastAsia="仿宋_GB2312"/>
          <w:color w:val="000000"/>
          <w:sz w:val="32"/>
          <w:szCs w:val="32"/>
          <w:highlight w:val="none"/>
        </w:rPr>
        <w:t>。</w:t>
      </w:r>
    </w:p>
    <w:p>
      <w:pPr>
        <w:ind w:firstLine="640" w:firstLineChars="200"/>
        <w:rPr>
          <w:rFonts w:hint="eastAsia" w:ascii="仿宋_GB2312" w:hAnsi="ˎ̥" w:eastAsia="仿宋_GB2312"/>
          <w:b/>
          <w:sz w:val="32"/>
          <w:szCs w:val="32"/>
        </w:rPr>
      </w:pPr>
      <w:r>
        <w:rPr>
          <w:rFonts w:hint="eastAsia" w:ascii="仿宋_GB2312" w:hAnsi="ˎ̥" w:eastAsia="仿宋_GB2312"/>
          <w:color w:val="000000"/>
          <w:sz w:val="32"/>
          <w:szCs w:val="32"/>
          <w:highlight w:val="none"/>
          <w:lang w:val="en-US" w:eastAsia="zh-CN"/>
        </w:rPr>
        <w:t>2</w:t>
      </w:r>
      <w:r>
        <w:rPr>
          <w:rFonts w:hint="eastAsia" w:ascii="仿宋_GB2312" w:hAnsi="ˎ̥" w:eastAsia="仿宋_GB2312"/>
          <w:sz w:val="32"/>
          <w:szCs w:val="32"/>
        </w:rPr>
        <w:t>.</w:t>
      </w:r>
      <w:r>
        <w:rPr>
          <w:rFonts w:hint="eastAsia" w:ascii="仿宋_GB2312" w:hAnsi="ˎ̥" w:eastAsia="仿宋_GB2312"/>
          <w:b/>
          <w:sz w:val="32"/>
          <w:szCs w:val="32"/>
        </w:rPr>
        <w:t>社会保障和就业支出（类）行政事业单位养老支出（款） 机关事业单位基本养老保险缴费支出（项）。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12.15</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11.06</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91</w:t>
      </w:r>
      <w:r>
        <w:rPr>
          <w:rFonts w:hint="eastAsia" w:ascii="仿宋_GB2312" w:hAnsi="ˎ̥" w:eastAsia="仿宋_GB2312"/>
          <w:sz w:val="32"/>
          <w:szCs w:val="32"/>
        </w:rPr>
        <w:t>%。决算数小于预算数的主要原因：</w:t>
      </w:r>
      <w:r>
        <w:rPr>
          <w:rFonts w:hint="eastAsia" w:ascii="仿宋_GB2312" w:hAnsi="ˎ̥" w:eastAsia="仿宋_GB2312"/>
          <w:sz w:val="32"/>
          <w:szCs w:val="32"/>
          <w:lang w:eastAsia="zh-CN"/>
        </w:rPr>
        <w:t>年初预算数偏多</w:t>
      </w:r>
      <w:r>
        <w:rPr>
          <w:rFonts w:hint="eastAsia" w:ascii="仿宋_GB2312" w:hAnsi="ˎ̥" w:eastAsia="仿宋_GB2312"/>
          <w:sz w:val="32"/>
          <w:szCs w:val="32"/>
        </w:rPr>
        <w:t>。</w:t>
      </w:r>
    </w:p>
    <w:p>
      <w:pPr>
        <w:ind w:firstLine="640" w:firstLineChars="200"/>
        <w:rPr>
          <w:rFonts w:hint="eastAsia" w:ascii="仿宋_GB2312" w:hAnsi="ˎ̥" w:eastAsia="仿宋_GB2312"/>
          <w:b/>
          <w:sz w:val="32"/>
          <w:szCs w:val="32"/>
        </w:rPr>
      </w:pPr>
      <w:r>
        <w:rPr>
          <w:rFonts w:hint="eastAsia" w:ascii="仿宋_GB2312" w:hAnsi="ˎ̥" w:eastAsia="仿宋_GB2312"/>
          <w:sz w:val="32"/>
          <w:szCs w:val="32"/>
          <w:lang w:val="en-US" w:eastAsia="zh-CN"/>
        </w:rPr>
        <w:t>3</w:t>
      </w:r>
      <w:r>
        <w:rPr>
          <w:rFonts w:hint="eastAsia" w:ascii="仿宋_GB2312" w:hAnsi="ˎ̥" w:eastAsia="仿宋_GB2312"/>
          <w:sz w:val="32"/>
          <w:szCs w:val="32"/>
        </w:rPr>
        <w:t>.</w:t>
      </w:r>
      <w:r>
        <w:rPr>
          <w:rFonts w:hint="eastAsia" w:ascii="仿宋_GB2312" w:hAnsi="ˎ̥" w:eastAsia="仿宋_GB2312"/>
          <w:b/>
          <w:sz w:val="32"/>
          <w:szCs w:val="32"/>
        </w:rPr>
        <w:t>社会保障和就业支出（类）行政事业单位养老支出（款） 机关事业单位</w:t>
      </w:r>
      <w:r>
        <w:rPr>
          <w:rFonts w:hint="eastAsia" w:ascii="仿宋_GB2312" w:hAnsi="ˎ̥" w:eastAsia="仿宋_GB2312"/>
          <w:b/>
          <w:sz w:val="32"/>
          <w:szCs w:val="32"/>
          <w:lang w:eastAsia="zh-CN"/>
        </w:rPr>
        <w:t>职业年金</w:t>
      </w:r>
      <w:r>
        <w:rPr>
          <w:rFonts w:hint="eastAsia" w:ascii="仿宋_GB2312" w:hAnsi="ˎ̥" w:eastAsia="仿宋_GB2312"/>
          <w:b/>
          <w:sz w:val="32"/>
          <w:szCs w:val="32"/>
        </w:rPr>
        <w:t>缴费支出（项）。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20.15</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%。决算数</w:t>
      </w:r>
      <w:r>
        <w:rPr>
          <w:rFonts w:hint="eastAsia" w:ascii="仿宋_GB2312" w:hAnsi="ˎ̥" w:eastAsia="仿宋_GB2312"/>
          <w:sz w:val="32"/>
          <w:szCs w:val="32"/>
          <w:lang w:eastAsia="zh-CN"/>
        </w:rPr>
        <w:t>大</w:t>
      </w:r>
      <w:r>
        <w:rPr>
          <w:rFonts w:hint="eastAsia" w:ascii="仿宋_GB2312" w:hAnsi="ˎ̥" w:eastAsia="仿宋_GB2312"/>
          <w:sz w:val="32"/>
          <w:szCs w:val="32"/>
        </w:rPr>
        <w:t>于预算数的主要原因：</w:t>
      </w:r>
      <w:r>
        <w:rPr>
          <w:rFonts w:hint="eastAsia" w:ascii="仿宋_GB2312" w:hAnsi="ˎ̥" w:eastAsia="仿宋_GB2312"/>
          <w:sz w:val="32"/>
          <w:szCs w:val="32"/>
          <w:lang w:eastAsia="zh-CN"/>
        </w:rPr>
        <w:t>年初没有做预算</w:t>
      </w:r>
      <w:r>
        <w:rPr>
          <w:rFonts w:hint="eastAsia" w:ascii="仿宋_GB2312" w:hAnsi="ˎ̥" w:eastAsia="仿宋_GB2312"/>
          <w:sz w:val="32"/>
          <w:szCs w:val="32"/>
        </w:rPr>
        <w:t>。</w:t>
      </w:r>
    </w:p>
    <w:p>
      <w:pPr>
        <w:ind w:firstLine="643" w:firstLineChars="200"/>
        <w:rPr>
          <w:rFonts w:hint="eastAsia" w:ascii="仿宋_GB2312" w:hAnsi="ˎ̥" w:eastAsia="仿宋_GB2312"/>
          <w:sz w:val="32"/>
          <w:szCs w:val="32"/>
        </w:rPr>
      </w:pPr>
      <w:r>
        <w:rPr>
          <w:rFonts w:hint="eastAsia" w:ascii="仿宋_GB2312" w:hAnsi="ˎ̥" w:eastAsia="仿宋_GB2312"/>
          <w:b/>
          <w:sz w:val="32"/>
          <w:szCs w:val="32"/>
          <w:lang w:val="en-US" w:eastAsia="zh-CN"/>
        </w:rPr>
        <w:t>4.</w:t>
      </w:r>
      <w:r>
        <w:rPr>
          <w:rFonts w:hint="eastAsia" w:ascii="仿宋_GB2312" w:hAnsi="ˎ̥" w:eastAsia="仿宋_GB2312"/>
          <w:b/>
          <w:sz w:val="32"/>
          <w:szCs w:val="32"/>
        </w:rPr>
        <w:t>卫生健康支出（类）卫生健康管理事务（款）其他卫生健康管理事务支出（项）。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168.35</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134.78</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80.1</w:t>
      </w:r>
      <w:r>
        <w:rPr>
          <w:rFonts w:hint="eastAsia" w:ascii="仿宋_GB2312" w:hAnsi="ˎ̥" w:eastAsia="仿宋_GB2312"/>
          <w:sz w:val="32"/>
          <w:szCs w:val="32"/>
        </w:rPr>
        <w:t>%。决算数小于预算数的主要原因：</w:t>
      </w:r>
      <w:r>
        <w:rPr>
          <w:rFonts w:hint="eastAsia" w:ascii="仿宋_GB2312" w:hAnsi="ˎ̥" w:eastAsia="仿宋_GB2312"/>
          <w:sz w:val="32"/>
          <w:szCs w:val="32"/>
          <w:lang w:eastAsia="zh-CN"/>
        </w:rPr>
        <w:t>年初预算数偏多</w:t>
      </w:r>
      <w:r>
        <w:rPr>
          <w:rFonts w:hint="eastAsia" w:ascii="仿宋_GB2312" w:hAnsi="ˎ̥" w:eastAsia="仿宋_GB2312"/>
          <w:sz w:val="32"/>
          <w:szCs w:val="32"/>
        </w:rPr>
        <w:t>。</w:t>
      </w:r>
    </w:p>
    <w:p>
      <w:pPr>
        <w:ind w:firstLine="640" w:firstLineChars="200"/>
        <w:rPr>
          <w:rFonts w:hint="default" w:ascii="仿宋_GB2312" w:hAnsi="ˎ̥" w:eastAsia="仿宋_GB2312"/>
          <w:sz w:val="32"/>
          <w:szCs w:val="32"/>
          <w:lang w:val="en-US" w:eastAsia="zh-CN"/>
        </w:rPr>
      </w:pPr>
      <w:r>
        <w:rPr>
          <w:rFonts w:hint="eastAsia" w:ascii="仿宋_GB2312" w:hAnsi="ˎ̥" w:eastAsia="仿宋_GB2312"/>
          <w:sz w:val="32"/>
          <w:szCs w:val="32"/>
          <w:lang w:val="en-US" w:eastAsia="zh-CN"/>
        </w:rPr>
        <w:t>5.</w:t>
      </w:r>
      <w:r>
        <w:rPr>
          <w:rFonts w:hint="eastAsia" w:ascii="仿宋_GB2312" w:hAnsi="ˎ̥" w:eastAsia="仿宋_GB2312"/>
          <w:b/>
          <w:sz w:val="32"/>
          <w:szCs w:val="32"/>
        </w:rPr>
        <w:t>卫生健康支出（类）公共卫生（款）基本公共卫生服务（项）。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102.66</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rPr>
        <w:t>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%。决算数</w:t>
      </w:r>
      <w:r>
        <w:rPr>
          <w:rFonts w:hint="eastAsia" w:ascii="仿宋_GB2312" w:hAnsi="ˎ̥" w:eastAsia="仿宋_GB2312"/>
          <w:sz w:val="32"/>
          <w:szCs w:val="32"/>
          <w:lang w:eastAsia="zh-CN"/>
        </w:rPr>
        <w:t>大</w:t>
      </w:r>
      <w:r>
        <w:rPr>
          <w:rFonts w:hint="eastAsia" w:ascii="仿宋_GB2312" w:hAnsi="ˎ̥" w:eastAsia="仿宋_GB2312"/>
          <w:sz w:val="32"/>
          <w:szCs w:val="32"/>
        </w:rPr>
        <w:t>于预算数的主要原因：</w:t>
      </w:r>
      <w:r>
        <w:rPr>
          <w:rFonts w:hint="eastAsia" w:ascii="仿宋_GB2312" w:hAnsi="ˎ̥" w:eastAsia="仿宋_GB2312"/>
          <w:color w:val="000000"/>
          <w:sz w:val="32"/>
          <w:szCs w:val="32"/>
          <w:highlight w:val="none"/>
          <w:lang w:eastAsia="zh-CN"/>
        </w:rPr>
        <w:t>三亚市卫生健康委员会</w:t>
      </w:r>
      <w:r>
        <w:rPr>
          <w:rFonts w:hint="eastAsia" w:ascii="仿宋_GB2312" w:hAnsi="ˎ̥" w:eastAsia="仿宋_GB2312"/>
          <w:sz w:val="32"/>
          <w:szCs w:val="32"/>
          <w:lang w:eastAsia="zh-CN"/>
        </w:rPr>
        <w:t>划拨</w:t>
      </w:r>
      <w:r>
        <w:rPr>
          <w:rFonts w:hint="eastAsia" w:ascii="仿宋_GB2312" w:hAnsi="ˎ̥" w:eastAsia="仿宋_GB2312"/>
          <w:sz w:val="32"/>
          <w:szCs w:val="32"/>
        </w:rPr>
        <w:t>。</w:t>
      </w:r>
    </w:p>
    <w:p>
      <w:pPr>
        <w:ind w:firstLine="640" w:firstLineChars="200"/>
        <w:rPr>
          <w:rFonts w:hint="default" w:ascii="仿宋_GB2312" w:hAnsi="ˎ̥" w:eastAsia="仿宋_GB2312"/>
          <w:sz w:val="32"/>
          <w:szCs w:val="32"/>
          <w:lang w:val="en-US" w:eastAsia="zh-CN"/>
        </w:rPr>
      </w:pPr>
      <w:r>
        <w:rPr>
          <w:rFonts w:hint="eastAsia" w:ascii="仿宋_GB2312" w:hAnsi="ˎ̥" w:eastAsia="仿宋_GB2312"/>
          <w:sz w:val="32"/>
          <w:szCs w:val="32"/>
          <w:lang w:val="en-US" w:eastAsia="zh-CN"/>
        </w:rPr>
        <w:t>6.</w:t>
      </w:r>
      <w:r>
        <w:rPr>
          <w:rFonts w:hint="eastAsia" w:ascii="仿宋_GB2312" w:hAnsi="ˎ̥" w:eastAsia="仿宋_GB2312"/>
          <w:b/>
          <w:sz w:val="32"/>
          <w:szCs w:val="32"/>
        </w:rPr>
        <w:t>卫生健康支出（类）公共卫生（款） 其他公共卫生支出（项）。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1.17</w:t>
      </w:r>
      <w:r>
        <w:rPr>
          <w:rFonts w:hint="eastAsia" w:ascii="仿宋_GB2312" w:hAnsi="ˎ̥" w:eastAsia="仿宋_GB2312"/>
          <w:sz w:val="32"/>
          <w:szCs w:val="32"/>
        </w:rPr>
        <w:t>万元</w:t>
      </w:r>
      <w:r>
        <w:rPr>
          <w:rFonts w:hint="eastAsia" w:ascii="仿宋_GB2312" w:hAnsi="ˎ̥" w:eastAsia="仿宋_GB2312"/>
          <w:sz w:val="32"/>
          <w:szCs w:val="32"/>
          <w:lang w:val="en-US" w:eastAsia="zh-CN"/>
        </w:rPr>
        <w:t>,</w:t>
      </w:r>
      <w:r>
        <w:rPr>
          <w:rFonts w:hint="eastAsia" w:ascii="仿宋_GB2312" w:hAnsi="ˎ̥" w:eastAsia="仿宋_GB2312"/>
          <w:sz w:val="32"/>
          <w:szCs w:val="32"/>
        </w:rPr>
        <w:t>完成年初预算的</w:t>
      </w:r>
      <w:r>
        <w:rPr>
          <w:rFonts w:hint="eastAsia" w:ascii="仿宋_GB2312" w:hAnsi="ˎ̥" w:eastAsia="仿宋_GB2312"/>
          <w:sz w:val="32"/>
          <w:szCs w:val="32"/>
          <w:lang w:val="en-US" w:eastAsia="zh-CN"/>
        </w:rPr>
        <w:t>100</w:t>
      </w:r>
      <w:r>
        <w:rPr>
          <w:rFonts w:hint="eastAsia" w:ascii="仿宋_GB2312" w:hAnsi="ˎ̥" w:eastAsia="仿宋_GB2312"/>
          <w:sz w:val="32"/>
          <w:szCs w:val="32"/>
        </w:rPr>
        <w:t>%。决算数</w:t>
      </w:r>
      <w:r>
        <w:rPr>
          <w:rFonts w:hint="eastAsia" w:ascii="仿宋_GB2312" w:hAnsi="ˎ̥" w:eastAsia="仿宋_GB2312"/>
          <w:sz w:val="32"/>
          <w:szCs w:val="32"/>
          <w:lang w:eastAsia="zh-CN"/>
        </w:rPr>
        <w:t>大</w:t>
      </w:r>
      <w:r>
        <w:rPr>
          <w:rFonts w:hint="eastAsia" w:ascii="仿宋_GB2312" w:hAnsi="ˎ̥" w:eastAsia="仿宋_GB2312"/>
          <w:sz w:val="32"/>
          <w:szCs w:val="32"/>
        </w:rPr>
        <w:t>于预算数的主要原因：</w:t>
      </w:r>
      <w:r>
        <w:rPr>
          <w:rFonts w:hint="eastAsia" w:ascii="仿宋_GB2312" w:hAnsi="ˎ̥" w:eastAsia="仿宋_GB2312"/>
          <w:color w:val="000000"/>
          <w:sz w:val="32"/>
          <w:szCs w:val="32"/>
          <w:highlight w:val="none"/>
          <w:lang w:eastAsia="zh-CN"/>
        </w:rPr>
        <w:t>三亚市卫生健康委员会</w:t>
      </w:r>
      <w:r>
        <w:rPr>
          <w:rFonts w:hint="eastAsia" w:ascii="仿宋_GB2312" w:hAnsi="ˎ̥" w:eastAsia="仿宋_GB2312"/>
          <w:sz w:val="32"/>
          <w:szCs w:val="32"/>
          <w:lang w:eastAsia="zh-CN"/>
        </w:rPr>
        <w:t>划拨</w:t>
      </w:r>
      <w:r>
        <w:rPr>
          <w:rFonts w:hint="eastAsia" w:ascii="仿宋_GB2312" w:hAnsi="ˎ̥" w:eastAsia="仿宋_GB2312"/>
          <w:sz w:val="32"/>
          <w:szCs w:val="32"/>
        </w:rPr>
        <w:t>。</w:t>
      </w:r>
    </w:p>
    <w:p>
      <w:pPr>
        <w:ind w:firstLine="640" w:firstLineChars="200"/>
        <w:rPr>
          <w:rFonts w:hint="default" w:ascii="仿宋_GB2312" w:hAnsi="ˎ̥" w:eastAsia="仿宋_GB2312"/>
          <w:sz w:val="32"/>
          <w:szCs w:val="32"/>
          <w:lang w:val="en-US" w:eastAsia="zh-CN"/>
        </w:rPr>
      </w:pPr>
      <w:r>
        <w:rPr>
          <w:rFonts w:hint="eastAsia" w:ascii="仿宋_GB2312" w:hAnsi="ˎ̥" w:eastAsia="仿宋_GB2312"/>
          <w:sz w:val="32"/>
          <w:szCs w:val="32"/>
          <w:lang w:val="en-US" w:eastAsia="zh-CN"/>
        </w:rPr>
        <w:t>7.</w:t>
      </w:r>
      <w:r>
        <w:rPr>
          <w:rFonts w:hint="eastAsia" w:ascii="仿宋_GB2312" w:hAnsi="ˎ̥" w:eastAsia="仿宋_GB2312"/>
          <w:b/>
          <w:sz w:val="32"/>
          <w:szCs w:val="32"/>
        </w:rPr>
        <w:t>卫生健康支出（类）行政事业单位医疗（款）事业单位医疗（项）。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6.46</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5.83</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90.3</w:t>
      </w:r>
      <w:r>
        <w:rPr>
          <w:rFonts w:hint="eastAsia" w:ascii="仿宋_GB2312" w:hAnsi="ˎ̥" w:eastAsia="仿宋_GB2312"/>
          <w:sz w:val="32"/>
          <w:szCs w:val="32"/>
        </w:rPr>
        <w:t>%。决算数小于预算数的主要原因：</w:t>
      </w:r>
      <w:r>
        <w:rPr>
          <w:rFonts w:hint="eastAsia" w:ascii="仿宋_GB2312" w:hAnsi="ˎ̥" w:eastAsia="仿宋_GB2312"/>
          <w:sz w:val="32"/>
          <w:szCs w:val="32"/>
          <w:lang w:eastAsia="zh-CN"/>
        </w:rPr>
        <w:t>年初预算数偏多</w:t>
      </w:r>
      <w:r>
        <w:rPr>
          <w:rFonts w:hint="eastAsia" w:ascii="仿宋_GB2312" w:hAnsi="ˎ̥" w:eastAsia="仿宋_GB2312"/>
          <w:sz w:val="32"/>
          <w:szCs w:val="32"/>
        </w:rPr>
        <w:t>。</w:t>
      </w:r>
    </w:p>
    <w:p>
      <w:pPr>
        <w:ind w:firstLine="640" w:firstLineChars="200"/>
        <w:rPr>
          <w:rFonts w:hint="default" w:ascii="仿宋_GB2312" w:hAnsi="ˎ̥" w:eastAsia="仿宋_GB2312"/>
          <w:sz w:val="32"/>
          <w:szCs w:val="32"/>
          <w:lang w:val="en-US" w:eastAsia="zh-CN"/>
        </w:rPr>
      </w:pPr>
      <w:r>
        <w:rPr>
          <w:rFonts w:hint="eastAsia" w:ascii="仿宋_GB2312" w:hAnsi="ˎ̥" w:eastAsia="仿宋_GB2312"/>
          <w:sz w:val="32"/>
          <w:szCs w:val="32"/>
          <w:lang w:val="en-US" w:eastAsia="zh-CN"/>
        </w:rPr>
        <w:t>8.</w:t>
      </w:r>
      <w:r>
        <w:rPr>
          <w:rFonts w:hint="eastAsia" w:ascii="仿宋_GB2312" w:hAnsi="ˎ̥" w:eastAsia="仿宋_GB2312"/>
          <w:b/>
          <w:sz w:val="32"/>
          <w:szCs w:val="32"/>
        </w:rPr>
        <w:t>卫生健康支出（类）行政事业单位医疗（款）公务员医疗补助（项）。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9.86</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8.96</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90.9</w:t>
      </w:r>
      <w:r>
        <w:rPr>
          <w:rFonts w:hint="eastAsia" w:ascii="仿宋_GB2312" w:hAnsi="ˎ̥" w:eastAsia="仿宋_GB2312"/>
          <w:sz w:val="32"/>
          <w:szCs w:val="32"/>
        </w:rPr>
        <w:t>%。决算数小于预算数的主要原因：</w:t>
      </w:r>
      <w:r>
        <w:rPr>
          <w:rFonts w:hint="eastAsia" w:ascii="仿宋_GB2312" w:hAnsi="ˎ̥" w:eastAsia="仿宋_GB2312"/>
          <w:sz w:val="32"/>
          <w:szCs w:val="32"/>
          <w:lang w:eastAsia="zh-CN"/>
        </w:rPr>
        <w:t>年初预算数偏多</w:t>
      </w:r>
      <w:r>
        <w:rPr>
          <w:rFonts w:hint="eastAsia" w:ascii="仿宋_GB2312" w:hAnsi="ˎ̥" w:eastAsia="仿宋_GB2312"/>
          <w:sz w:val="32"/>
          <w:szCs w:val="32"/>
        </w:rPr>
        <w:t>。</w:t>
      </w:r>
    </w:p>
    <w:p>
      <w:pPr>
        <w:ind w:firstLine="640" w:firstLineChars="200"/>
        <w:rPr>
          <w:rFonts w:hint="default" w:ascii="仿宋_GB2312" w:hAnsi="ˎ̥" w:eastAsia="仿宋_GB2312"/>
          <w:sz w:val="32"/>
          <w:szCs w:val="32"/>
          <w:lang w:val="en-US" w:eastAsia="zh-CN"/>
        </w:rPr>
      </w:pPr>
      <w:r>
        <w:rPr>
          <w:rFonts w:hint="eastAsia" w:ascii="仿宋_GB2312" w:hAnsi="ˎ̥" w:eastAsia="仿宋_GB2312"/>
          <w:sz w:val="32"/>
          <w:szCs w:val="32"/>
          <w:lang w:val="en-US" w:eastAsia="zh-CN"/>
        </w:rPr>
        <w:t>9.</w:t>
      </w:r>
      <w:r>
        <w:rPr>
          <w:rFonts w:hint="eastAsia" w:ascii="仿宋_GB2312" w:hAnsi="ˎ̥" w:eastAsia="仿宋_GB2312"/>
          <w:b/>
          <w:sz w:val="32"/>
          <w:szCs w:val="32"/>
        </w:rPr>
        <w:t>卫生健康支出（类）</w:t>
      </w:r>
      <w:r>
        <w:rPr>
          <w:rFonts w:hint="eastAsia" w:ascii="仿宋_GB2312" w:hAnsi="ˎ̥" w:eastAsia="仿宋_GB2312"/>
          <w:b/>
          <w:sz w:val="32"/>
          <w:szCs w:val="32"/>
          <w:lang w:eastAsia="zh-CN"/>
        </w:rPr>
        <w:t>医疗保障管理事务</w:t>
      </w:r>
      <w:r>
        <w:rPr>
          <w:rFonts w:hint="eastAsia" w:ascii="仿宋_GB2312" w:hAnsi="ˎ̥" w:eastAsia="仿宋_GB2312"/>
          <w:b/>
          <w:sz w:val="32"/>
          <w:szCs w:val="32"/>
        </w:rPr>
        <w:t>（款）</w:t>
      </w:r>
      <w:r>
        <w:rPr>
          <w:rFonts w:hint="eastAsia" w:ascii="仿宋_GB2312" w:hAnsi="ˎ̥" w:eastAsia="仿宋_GB2312"/>
          <w:b/>
          <w:sz w:val="32"/>
          <w:szCs w:val="32"/>
          <w:lang w:eastAsia="zh-CN"/>
        </w:rPr>
        <w:t>事业运行</w:t>
      </w:r>
      <w:r>
        <w:rPr>
          <w:rFonts w:hint="eastAsia" w:ascii="仿宋_GB2312" w:hAnsi="ˎ̥" w:eastAsia="仿宋_GB2312"/>
          <w:b/>
          <w:sz w:val="32"/>
          <w:szCs w:val="32"/>
        </w:rPr>
        <w:t>（项）。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2</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0.93</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46.5</w:t>
      </w:r>
      <w:r>
        <w:rPr>
          <w:rFonts w:hint="eastAsia" w:ascii="仿宋_GB2312" w:hAnsi="ˎ̥" w:eastAsia="仿宋_GB2312"/>
          <w:sz w:val="32"/>
          <w:szCs w:val="32"/>
        </w:rPr>
        <w:t>%。决算数小于预算数的主要原因</w:t>
      </w:r>
      <w:r>
        <w:rPr>
          <w:rFonts w:hint="eastAsia" w:ascii="仿宋_GB2312" w:hAnsi="ˎ̥" w:eastAsia="仿宋_GB2312"/>
          <w:sz w:val="32"/>
          <w:szCs w:val="32"/>
          <w:lang w:eastAsia="zh-CN"/>
        </w:rPr>
        <w:t>：年初预算数偏多</w:t>
      </w:r>
      <w:r>
        <w:rPr>
          <w:rFonts w:hint="eastAsia" w:ascii="仿宋_GB2312" w:hAnsi="ˎ̥" w:eastAsia="仿宋_GB2312"/>
          <w:sz w:val="32"/>
          <w:szCs w:val="32"/>
        </w:rPr>
        <w:t>。</w:t>
      </w:r>
    </w:p>
    <w:p>
      <w:pPr>
        <w:ind w:firstLine="640" w:firstLineChars="200"/>
        <w:rPr>
          <w:rFonts w:hint="default" w:ascii="仿宋_GB2312" w:hAnsi="ˎ̥" w:eastAsia="仿宋_GB2312"/>
          <w:sz w:val="32"/>
          <w:szCs w:val="32"/>
          <w:lang w:val="en-US" w:eastAsia="zh-CN"/>
        </w:rPr>
      </w:pPr>
      <w:r>
        <w:rPr>
          <w:rFonts w:hint="eastAsia" w:ascii="仿宋_GB2312" w:hAnsi="ˎ̥" w:eastAsia="仿宋_GB2312"/>
          <w:sz w:val="32"/>
          <w:szCs w:val="32"/>
          <w:lang w:val="en-US" w:eastAsia="zh-CN"/>
        </w:rPr>
        <w:t>10.</w:t>
      </w:r>
      <w:r>
        <w:rPr>
          <w:rFonts w:hint="eastAsia" w:ascii="仿宋_GB2312" w:hAnsi="ˎ̥" w:eastAsia="仿宋_GB2312"/>
          <w:b/>
          <w:sz w:val="32"/>
          <w:szCs w:val="32"/>
        </w:rPr>
        <w:t>住房保障支出（类）住房改革支出（款）住房公积金（项）。</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9.43</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11.14</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118.1</w:t>
      </w:r>
      <w:r>
        <w:rPr>
          <w:rFonts w:hint="eastAsia" w:ascii="仿宋_GB2312" w:hAnsi="ˎ̥" w:eastAsia="仿宋_GB2312"/>
          <w:sz w:val="32"/>
          <w:szCs w:val="32"/>
        </w:rPr>
        <w:t>%。决算数小于预算数的主要原因：</w:t>
      </w:r>
      <w:r>
        <w:rPr>
          <w:rFonts w:hint="eastAsia" w:ascii="仿宋_GB2312" w:hAnsi="ˎ̥" w:eastAsia="仿宋_GB2312"/>
          <w:sz w:val="32"/>
          <w:szCs w:val="32"/>
          <w:lang w:eastAsia="zh-CN"/>
        </w:rPr>
        <w:t>人员变动</w:t>
      </w:r>
      <w:r>
        <w:rPr>
          <w:rFonts w:hint="eastAsia" w:ascii="仿宋_GB2312" w:hAnsi="ˎ̥"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color w:val="000000"/>
          <w:sz w:val="32"/>
          <w:szCs w:val="32"/>
          <w:highlight w:val="none"/>
        </w:rPr>
      </w:pPr>
      <w:r>
        <w:rPr>
          <w:rFonts w:hint="eastAsia" w:ascii="黑体" w:hAnsi="黑体" w:eastAsia="黑体" w:cs="黑体"/>
          <w:bCs/>
          <w:color w:val="000000"/>
          <w:sz w:val="32"/>
          <w:szCs w:val="32"/>
          <w:highlight w:val="none"/>
        </w:rPr>
        <w:t>六、一般公共预算财政拨款基本支出决算情况说明</w:t>
      </w:r>
    </w:p>
    <w:p>
      <w:pPr>
        <w:keepNext w:val="0"/>
        <w:keepLines w:val="0"/>
        <w:pageBreakBefore w:val="0"/>
        <w:tabs>
          <w:tab w:val="center" w:pos="4473"/>
        </w:tabs>
        <w:kinsoku/>
        <w:wordWrap/>
        <w:overflowPunct/>
        <w:topLinePunct w:val="0"/>
        <w:autoSpaceDE/>
        <w:autoSpaceDN/>
        <w:bidi w:val="0"/>
        <w:adjustRightInd/>
        <w:snapToGrid/>
        <w:spacing w:line="240" w:lineRule="auto"/>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2022年度财政拨款基本支出</w:t>
      </w:r>
      <w:r>
        <w:rPr>
          <w:rFonts w:hint="eastAsia" w:ascii="仿宋_GB2312" w:hAnsi="ˎ̥" w:eastAsia="仿宋_GB2312"/>
          <w:color w:val="000000"/>
          <w:sz w:val="32"/>
          <w:szCs w:val="32"/>
          <w:highlight w:val="none"/>
          <w:lang w:val="en-US" w:eastAsia="zh-CN"/>
        </w:rPr>
        <w:t>170.31</w:t>
      </w:r>
      <w:r>
        <w:rPr>
          <w:rFonts w:hint="eastAsia" w:ascii="仿宋_GB2312" w:hAnsi="ˎ̥" w:eastAsia="仿宋_GB2312"/>
          <w:color w:val="000000"/>
          <w:sz w:val="32"/>
          <w:szCs w:val="32"/>
          <w:highlight w:val="none"/>
        </w:rPr>
        <w:t>万元，</w:t>
      </w:r>
      <w:r>
        <w:rPr>
          <w:rFonts w:hint="eastAsia" w:ascii="仿宋_GB2312" w:hAnsi="ˎ̥" w:eastAsia="仿宋_GB2312"/>
          <w:sz w:val="32"/>
          <w:szCs w:val="32"/>
        </w:rPr>
        <w:t>其中：人员经费</w:t>
      </w:r>
      <w:r>
        <w:rPr>
          <w:rFonts w:hint="eastAsia" w:ascii="仿宋_GB2312" w:hAnsi="ˎ̥" w:eastAsia="仿宋_GB2312"/>
          <w:sz w:val="32"/>
          <w:szCs w:val="32"/>
          <w:lang w:val="en-US" w:eastAsia="zh-CN"/>
        </w:rPr>
        <w:t>164.03</w:t>
      </w:r>
      <w:r>
        <w:rPr>
          <w:rFonts w:hint="eastAsia" w:ascii="仿宋_GB2312" w:hAnsi="ˎ̥" w:eastAsia="仿宋_GB2312"/>
          <w:sz w:val="32"/>
          <w:szCs w:val="32"/>
        </w:rPr>
        <w:t>万元，主要包括：工资福利支出中的基本工资、津贴补贴、绩效工资、机关事业单位基本养老保险缴费、职业年金缴费、职工基本医疗保险缴费、公务员医疗补助缴费、其他社会保障缴费、住房公积金、医疗费、其他工资福利支出</w:t>
      </w:r>
      <w:r>
        <w:rPr>
          <w:rFonts w:hint="eastAsia" w:ascii="仿宋_GB2312" w:hAnsi="ˎ̥" w:eastAsia="仿宋_GB2312"/>
          <w:sz w:val="32"/>
          <w:szCs w:val="32"/>
          <w:lang w:eastAsia="zh-CN"/>
        </w:rPr>
        <w:t>、奖励金</w:t>
      </w:r>
      <w:r>
        <w:rPr>
          <w:rFonts w:hint="eastAsia" w:ascii="仿宋_GB2312" w:hAnsi="ˎ̥" w:eastAsia="仿宋_GB2312"/>
          <w:sz w:val="32"/>
          <w:szCs w:val="32"/>
        </w:rPr>
        <w:t>。公用经费</w:t>
      </w:r>
      <w:r>
        <w:rPr>
          <w:rFonts w:hint="eastAsia" w:ascii="仿宋_GB2312" w:hAnsi="ˎ̥" w:eastAsia="仿宋_GB2312"/>
          <w:sz w:val="32"/>
          <w:szCs w:val="32"/>
          <w:lang w:val="en-US" w:eastAsia="zh-CN"/>
        </w:rPr>
        <w:t>6.28</w:t>
      </w:r>
      <w:r>
        <w:rPr>
          <w:rFonts w:hint="eastAsia" w:ascii="仿宋_GB2312" w:hAnsi="ˎ̥" w:eastAsia="仿宋_GB2312"/>
          <w:sz w:val="32"/>
          <w:szCs w:val="32"/>
        </w:rPr>
        <w:t>万元，主要包括：商品和服务支出中的办公费、</w:t>
      </w:r>
      <w:r>
        <w:rPr>
          <w:rFonts w:hint="eastAsia" w:ascii="仿宋_GB2312" w:hAnsi="ˎ̥" w:eastAsia="仿宋_GB2312"/>
          <w:sz w:val="32"/>
          <w:szCs w:val="32"/>
          <w:lang w:eastAsia="zh-CN"/>
        </w:rPr>
        <w:t>邮电</w:t>
      </w:r>
      <w:r>
        <w:rPr>
          <w:rFonts w:hint="eastAsia" w:ascii="仿宋_GB2312" w:hAnsi="ˎ̥" w:eastAsia="仿宋_GB2312"/>
          <w:sz w:val="32"/>
          <w:szCs w:val="32"/>
        </w:rPr>
        <w:t>费、工会经费</w:t>
      </w:r>
      <w:r>
        <w:rPr>
          <w:rFonts w:hint="eastAsia" w:ascii="仿宋_GB2312" w:hAnsi="ˎ̥" w:eastAsia="仿宋_GB2312"/>
          <w:sz w:val="32"/>
          <w:szCs w:val="32"/>
          <w:lang w:eastAsia="zh-CN"/>
        </w:rPr>
        <w:t>、其他商品和服务支出</w:t>
      </w:r>
      <w:r>
        <w:rPr>
          <w:rFonts w:hint="eastAsia" w:ascii="仿宋_GB2312" w:hAnsi="ˎ̥" w:eastAsia="仿宋_GB2312"/>
          <w:sz w:val="32"/>
          <w:szCs w:val="32"/>
        </w:rPr>
        <w:t>。</w:t>
      </w:r>
    </w:p>
    <w:p>
      <w:pPr>
        <w:keepNext w:val="0"/>
        <w:keepLines w:val="0"/>
        <w:pageBreakBefore w:val="0"/>
        <w:tabs>
          <w:tab w:val="center" w:pos="4473"/>
        </w:tabs>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七、政府性基金预算财政拨款支出决算情况说明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（一）政府性基金预算财政拨款支出决算总体情况。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2022年度政府性基金预算财政拨款支出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万元，占本年支出合计的</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%。与2021年度相比，政府性基金预算财政拨款支出增加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万元，增长</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%，主要原因是</w:t>
      </w:r>
      <w:r>
        <w:rPr>
          <w:rFonts w:hint="eastAsia" w:ascii="仿宋_GB2312" w:hAnsi="ˎ̥" w:eastAsia="仿宋_GB2312"/>
          <w:color w:val="000000"/>
          <w:sz w:val="32"/>
          <w:szCs w:val="32"/>
          <w:highlight w:val="none"/>
          <w:lang w:eastAsia="zh-CN"/>
        </w:rPr>
        <w:t>没有政府性基金预算财政</w:t>
      </w:r>
      <w:r>
        <w:rPr>
          <w:rFonts w:hint="eastAsia" w:ascii="仿宋_GB2312" w:hAnsi="ˎ̥" w:eastAsia="仿宋_GB2312"/>
          <w:color w:val="000000"/>
          <w:sz w:val="32"/>
          <w:szCs w:val="32"/>
          <w:highlight w:val="none"/>
        </w:rPr>
        <w:t>拨款。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（二）政府性基金预算财政拨款支出决算结构情况。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2022年度政府性基金预算财政拨款支出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（三）政府性基金预算财政拨款支出决算具体情况。</w:t>
      </w:r>
    </w:p>
    <w:p>
      <w:pPr>
        <w:keepNext w:val="0"/>
        <w:keepLines w:val="0"/>
        <w:pageBreakBefore w:val="0"/>
        <w:tabs>
          <w:tab w:val="center" w:pos="4473"/>
        </w:tabs>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2022年度政府性基金预算财政拨款支出年初预算为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w:t>
      </w:r>
    </w:p>
    <w:p>
      <w:pPr>
        <w:keepNext w:val="0"/>
        <w:keepLines w:val="0"/>
        <w:pageBreakBefore w:val="0"/>
        <w:tabs>
          <w:tab w:val="center" w:pos="4473"/>
        </w:tabs>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八、国有资本经营预算财政拨款支出决算情况说明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（一）国有资本经营预算财政拨款支出决算总体情况。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2022年度国有资本经营预算财政拨款支出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万元，占本年支出合计的</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%。与2021年度相比，国有资本经营预算财政拨款支出增加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万元，增长</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%，主要原因是</w:t>
      </w:r>
      <w:r>
        <w:rPr>
          <w:rFonts w:hint="eastAsia" w:ascii="仿宋_GB2312" w:hAnsi="ˎ̥" w:eastAsia="仿宋_GB2312"/>
          <w:color w:val="000000"/>
          <w:sz w:val="32"/>
          <w:szCs w:val="32"/>
          <w:highlight w:val="none"/>
          <w:lang w:eastAsia="zh-CN"/>
        </w:rPr>
        <w:t>没有</w:t>
      </w:r>
      <w:r>
        <w:rPr>
          <w:rFonts w:hint="eastAsia" w:ascii="仿宋_GB2312" w:hAnsi="ˎ̥" w:eastAsia="仿宋_GB2312"/>
          <w:color w:val="000000"/>
          <w:sz w:val="32"/>
          <w:szCs w:val="32"/>
          <w:highlight w:val="none"/>
        </w:rPr>
        <w:t>国有资本经营预算财政拨款。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（二）国有资本经营预算财政拨款支出决算结构情况。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2022年度国有资本经营预算财政拨款支出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（三）国有资本经营预算财政拨款支出决算具体情况。</w:t>
      </w:r>
    </w:p>
    <w:p>
      <w:pPr>
        <w:keepNext w:val="0"/>
        <w:keepLines w:val="0"/>
        <w:pageBreakBefore w:val="0"/>
        <w:tabs>
          <w:tab w:val="center" w:pos="4473"/>
        </w:tabs>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2022年度国有资本经营预算财政拨款支出年初预算为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万元，完成年初预算的</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仿宋_GB2312" w:hAnsi="ˎ̥" w:eastAsia="楷体_GB2312"/>
          <w:color w:val="000000"/>
          <w:sz w:val="32"/>
          <w:szCs w:val="32"/>
          <w:highlight w:val="none"/>
        </w:rPr>
      </w:pPr>
      <w:r>
        <w:rPr>
          <w:rFonts w:hint="eastAsia" w:ascii="黑体" w:hAnsi="黑体" w:eastAsia="黑体" w:cs="黑体"/>
          <w:bCs/>
          <w:color w:val="000000"/>
          <w:sz w:val="32"/>
          <w:szCs w:val="32"/>
          <w:highlight w:val="none"/>
        </w:rPr>
        <w:t>九、财政拨款“三公”经费支出决算情况说明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Cs/>
          <w:color w:val="000000"/>
          <w:sz w:val="32"/>
          <w:szCs w:val="32"/>
          <w:highlight w:val="none"/>
        </w:rPr>
      </w:pPr>
      <w:r>
        <w:rPr>
          <w:rFonts w:hint="eastAsia" w:ascii="楷体" w:hAnsi="楷体" w:eastAsia="楷体" w:cs="楷体"/>
          <w:bCs/>
          <w:color w:val="000000"/>
          <w:sz w:val="32"/>
          <w:szCs w:val="32"/>
          <w:highlight w:val="none"/>
        </w:rPr>
        <w:t>（一）财政拨款“三公”经费支出决算总体情况说明。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 xml:space="preserve">    2022年度财政拨款“三公”经费支出预算为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万元，支出决算为</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万元，完成预算的</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s="楷体"/>
          <w:color w:val="000000"/>
          <w:sz w:val="32"/>
          <w:szCs w:val="32"/>
          <w:highlight w:val="none"/>
        </w:rPr>
      </w:pPr>
      <w:r>
        <w:rPr>
          <w:rFonts w:hint="eastAsia" w:ascii="楷体" w:hAnsi="楷体" w:eastAsia="楷体" w:cs="楷体"/>
          <w:b/>
          <w:bCs/>
          <w:color w:val="000000"/>
          <w:sz w:val="32"/>
          <w:szCs w:val="32"/>
          <w:highlight w:val="none"/>
        </w:rPr>
        <w:t xml:space="preserve">   </w:t>
      </w:r>
      <w:r>
        <w:rPr>
          <w:rFonts w:hint="eastAsia" w:ascii="楷体" w:hAnsi="楷体" w:eastAsia="楷体" w:cs="楷体"/>
          <w:color w:val="000000"/>
          <w:sz w:val="32"/>
          <w:szCs w:val="32"/>
          <w:highlight w:val="none"/>
        </w:rPr>
        <w:t xml:space="preserve"> （二）财政拨款“三公”经费支出决算具体情况说明。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2022年度财政拨款“三公”经费支出决算中，因公出国（境）费支出决算</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%；公务用车购置及运行维护费支出决算</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%；公务接待费支出决算</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十、预算绩效情况说明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color w:val="000000"/>
          <w:sz w:val="32"/>
          <w:szCs w:val="32"/>
          <w:highlight w:val="none"/>
        </w:rPr>
      </w:pPr>
      <w:r>
        <w:rPr>
          <w:rFonts w:hint="eastAsia" w:ascii="楷体" w:hAnsi="楷体" w:eastAsia="楷体" w:cs="楷体"/>
          <w:b w:val="0"/>
          <w:bCs/>
          <w:color w:val="000000"/>
          <w:sz w:val="32"/>
          <w:szCs w:val="32"/>
          <w:highlight w:val="none"/>
          <w:lang w:eastAsia="zh-CN"/>
        </w:rPr>
        <w:t>（一）</w:t>
      </w:r>
      <w:r>
        <w:rPr>
          <w:rFonts w:hint="eastAsia" w:ascii="楷体" w:hAnsi="楷体" w:eastAsia="楷体" w:cs="楷体"/>
          <w:b w:val="0"/>
          <w:bCs/>
          <w:color w:val="000000"/>
          <w:sz w:val="32"/>
          <w:szCs w:val="32"/>
          <w:highlight w:val="none"/>
        </w:rPr>
        <w:t>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根据预算管理要求，我单位组织</w:t>
      </w:r>
      <w:r>
        <w:rPr>
          <w:rFonts w:hint="eastAsia" w:ascii="仿宋_GB2312" w:eastAsia="仿宋_GB2312"/>
          <w:color w:val="000000"/>
          <w:sz w:val="32"/>
          <w:szCs w:val="32"/>
          <w:highlight w:val="none"/>
          <w:lang w:eastAsia="zh-CN"/>
        </w:rPr>
        <w:t>未</w:t>
      </w:r>
      <w:r>
        <w:rPr>
          <w:rFonts w:hint="eastAsia" w:ascii="仿宋_GB2312" w:eastAsia="仿宋_GB2312"/>
          <w:color w:val="000000"/>
          <w:sz w:val="32"/>
          <w:szCs w:val="32"/>
          <w:highlight w:val="none"/>
        </w:rPr>
        <w:t>对</w:t>
      </w:r>
      <w:r>
        <w:rPr>
          <w:rFonts w:hint="eastAsia" w:ascii="仿宋_GB2312" w:eastAsia="仿宋_GB2312"/>
          <w:color w:val="000000"/>
          <w:sz w:val="32"/>
          <w:szCs w:val="32"/>
          <w:highlight w:val="none"/>
          <w:lang w:eastAsia="zh-CN"/>
        </w:rPr>
        <w:t>202</w:t>
      </w: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lang w:eastAsia="zh-CN"/>
        </w:rPr>
        <w:t>年度</w:t>
      </w:r>
      <w:r>
        <w:rPr>
          <w:rFonts w:hint="eastAsia" w:ascii="仿宋_GB2312" w:eastAsia="仿宋_GB2312"/>
          <w:color w:val="000000"/>
          <w:sz w:val="32"/>
          <w:szCs w:val="32"/>
          <w:highlight w:val="none"/>
        </w:rPr>
        <w:t>一般公共预算项目支出全面开展绩效自评。</w:t>
      </w:r>
      <w:r>
        <w:rPr>
          <w:rFonts w:hint="eastAsia" w:ascii="仿宋_GB2312" w:hAnsi="Times New Roman" w:eastAsia="仿宋_GB2312" w:cs="Times New Roman"/>
          <w:color w:val="000000"/>
          <w:kern w:val="2"/>
          <w:sz w:val="32"/>
          <w:szCs w:val="32"/>
          <w:highlight w:val="none"/>
          <w:lang w:val="en-US" w:eastAsia="zh-CN" w:bidi="ar"/>
        </w:rPr>
        <w:t>其中，自评项目0个，共涉及资金0万元，占一般公共预算项目支出总额的0%。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b w:val="0"/>
          <w:bCs/>
          <w:color w:val="000000"/>
          <w:sz w:val="32"/>
          <w:szCs w:val="32"/>
          <w:highlight w:val="none"/>
          <w:lang w:val="en-US" w:eastAsia="zh-CN"/>
        </w:rPr>
      </w:pPr>
      <w:r>
        <w:rPr>
          <w:rFonts w:hint="eastAsia" w:ascii="楷体" w:hAnsi="楷体" w:eastAsia="楷体" w:cs="楷体"/>
          <w:b w:val="0"/>
          <w:bCs/>
          <w:color w:val="000000"/>
          <w:sz w:val="32"/>
          <w:szCs w:val="32"/>
          <w:highlight w:val="none"/>
          <w:lang w:eastAsia="zh-CN"/>
        </w:rPr>
        <w:t>（二）</w:t>
      </w:r>
      <w:r>
        <w:rPr>
          <w:rFonts w:hint="eastAsia" w:ascii="楷体" w:hAnsi="楷体" w:eastAsia="楷体" w:cs="楷体"/>
          <w:b w:val="0"/>
          <w:bCs/>
          <w:color w:val="000000"/>
          <w:sz w:val="32"/>
          <w:szCs w:val="32"/>
          <w:highlight w:val="none"/>
        </w:rPr>
        <w:t>部门决算中项目绩效自评结果。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color w:val="000000"/>
          <w:sz w:val="32"/>
          <w:szCs w:val="32"/>
          <w:highlight w:val="none"/>
        </w:rPr>
      </w:pPr>
      <w:r>
        <w:rPr>
          <w:rFonts w:hint="eastAsia" w:ascii="楷体" w:hAnsi="楷体" w:eastAsia="楷体" w:cs="楷体"/>
          <w:b w:val="0"/>
          <w:bCs/>
          <w:color w:val="000000"/>
          <w:sz w:val="32"/>
          <w:szCs w:val="32"/>
          <w:highlight w:val="none"/>
          <w:lang w:eastAsia="zh-CN"/>
        </w:rPr>
        <w:t>（三）</w:t>
      </w:r>
      <w:r>
        <w:rPr>
          <w:rFonts w:hint="eastAsia" w:ascii="楷体" w:hAnsi="楷体" w:eastAsia="楷体" w:cs="楷体"/>
          <w:b w:val="0"/>
          <w:bCs/>
          <w:color w:val="000000"/>
          <w:sz w:val="32"/>
          <w:szCs w:val="32"/>
          <w:highlight w:val="none"/>
          <w:lang w:val="en-US"/>
        </w:rPr>
        <w:t>部门评价结果</w:t>
      </w:r>
      <w:r>
        <w:rPr>
          <w:rFonts w:hint="eastAsia" w:ascii="楷体" w:hAnsi="楷体" w:eastAsia="楷体" w:cs="楷体"/>
          <w:b w:val="0"/>
          <w:bCs/>
          <w:color w:val="000000"/>
          <w:sz w:val="32"/>
          <w:szCs w:val="32"/>
          <w:highlight w:val="none"/>
          <w:u w:val="none"/>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color w:val="000000"/>
          <w:sz w:val="32"/>
          <w:szCs w:val="32"/>
          <w:highlight w:val="none"/>
        </w:rPr>
      </w:pPr>
      <w:r>
        <w:rPr>
          <w:rFonts w:hint="eastAsia" w:ascii="楷体" w:hAnsi="楷体" w:eastAsia="楷体" w:cs="楷体"/>
          <w:b w:val="0"/>
          <w:bCs/>
          <w:color w:val="000000"/>
          <w:sz w:val="32"/>
          <w:szCs w:val="32"/>
          <w:highlight w:val="none"/>
          <w:lang w:eastAsia="zh-CN"/>
        </w:rPr>
        <w:t>（四）财政评价结果</w:t>
      </w:r>
      <w:r>
        <w:rPr>
          <w:rFonts w:hint="eastAsia" w:ascii="楷体" w:hAnsi="楷体" w:eastAsia="楷体" w:cs="楷体"/>
          <w:b w:val="0"/>
          <w:bCs/>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lang w:val="zh-CN"/>
        </w:rPr>
      </w:pPr>
      <w:r>
        <w:rPr>
          <w:rFonts w:hint="eastAsia" w:ascii="仿宋_GB2312" w:eastAsia="仿宋_GB2312"/>
          <w:color w:val="000000"/>
          <w:sz w:val="32"/>
          <w:szCs w:val="32"/>
          <w:highlight w:val="none"/>
          <w:lang w:val="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十一、其他重要事项情况说明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Cs/>
          <w:color w:val="000000"/>
          <w:sz w:val="32"/>
          <w:szCs w:val="32"/>
          <w:highlight w:val="none"/>
        </w:rPr>
      </w:pPr>
      <w:bookmarkStart w:id="95" w:name="_Toc5978_WPSOffice_Level2"/>
      <w:bookmarkStart w:id="96" w:name="_Toc18325_WPSOffice_Level2"/>
      <w:bookmarkStart w:id="97" w:name="_Toc32639_WPSOffice_Level2"/>
      <w:bookmarkStart w:id="98" w:name="_Toc23598_WPSOffice_Level2"/>
      <w:bookmarkStart w:id="99" w:name="_Toc15262_WPSOffice_Level2"/>
      <w:bookmarkStart w:id="100" w:name="_Toc15565_WPSOffice_Level2"/>
      <w:r>
        <w:rPr>
          <w:rFonts w:hint="eastAsia" w:ascii="楷体" w:hAnsi="楷体" w:eastAsia="楷体" w:cs="楷体"/>
          <w:bCs/>
          <w:color w:val="000000"/>
          <w:sz w:val="32"/>
          <w:szCs w:val="32"/>
          <w:highlight w:val="none"/>
        </w:rPr>
        <w:t>（一）机关运行经费支出情况。</w:t>
      </w:r>
      <w:bookmarkEnd w:id="95"/>
      <w:bookmarkEnd w:id="96"/>
      <w:bookmarkEnd w:id="97"/>
      <w:bookmarkEnd w:id="98"/>
      <w:bookmarkEnd w:id="99"/>
      <w:bookmarkEnd w:id="100"/>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w:t>
      </w:r>
      <w:r>
        <w:rPr>
          <w:rFonts w:hint="eastAsia" w:ascii="仿宋_GB2312" w:hAnsi="ˎ̥" w:eastAsia="仿宋_GB2312"/>
          <w:color w:val="000000"/>
          <w:sz w:val="32"/>
          <w:szCs w:val="32"/>
          <w:highlight w:val="none"/>
          <w:lang w:eastAsia="zh-CN"/>
        </w:rPr>
        <w:t>三亚市健康教育所</w:t>
      </w:r>
      <w:r>
        <w:rPr>
          <w:rFonts w:hint="eastAsia" w:ascii="仿宋_GB2312" w:hAnsi="ˎ̥" w:eastAsia="仿宋_GB2312"/>
          <w:color w:val="000000"/>
          <w:sz w:val="32"/>
          <w:szCs w:val="32"/>
          <w:highlight w:val="none"/>
        </w:rPr>
        <w:t>机关运行经费</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万元，比年初预算增加</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万元，增长</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%。主要原因是：</w:t>
      </w:r>
      <w:r>
        <w:rPr>
          <w:rFonts w:hint="eastAsia" w:ascii="仿宋_GB2312" w:hAnsi="ˎ̥" w:eastAsia="仿宋_GB2312"/>
          <w:color w:val="000000"/>
          <w:sz w:val="32"/>
          <w:szCs w:val="32"/>
          <w:highlight w:val="none"/>
          <w:lang w:eastAsia="zh-CN"/>
        </w:rPr>
        <w:t>三亚市健康教育所</w:t>
      </w:r>
      <w:r>
        <w:rPr>
          <w:rFonts w:hint="eastAsia" w:ascii="仿宋_GB2312" w:hAnsi="仿宋_GB2312" w:eastAsia="仿宋_GB2312" w:cs="仿宋_GB2312"/>
          <w:color w:val="000000"/>
          <w:sz w:val="32"/>
          <w:szCs w:val="32"/>
        </w:rPr>
        <w:t>为从事公益服务的公益一类事业单位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Cs/>
          <w:color w:val="000000"/>
          <w:sz w:val="32"/>
          <w:szCs w:val="32"/>
          <w:highlight w:val="none"/>
        </w:rPr>
      </w:pPr>
      <w:bookmarkStart w:id="101" w:name="_Toc32689_WPSOffice_Level2"/>
      <w:bookmarkStart w:id="102" w:name="_Toc23966_WPSOffice_Level2"/>
      <w:bookmarkStart w:id="103" w:name="_Toc30383_WPSOffice_Level2"/>
      <w:bookmarkStart w:id="104" w:name="_Toc3131_WPSOffice_Level2"/>
      <w:bookmarkStart w:id="105" w:name="_Toc13084_WPSOffice_Level2"/>
      <w:bookmarkStart w:id="106" w:name="_Toc25333_WPSOffice_Level2"/>
      <w:r>
        <w:rPr>
          <w:rFonts w:hint="eastAsia" w:ascii="楷体" w:hAnsi="楷体" w:eastAsia="楷体" w:cs="楷体"/>
          <w:bCs/>
          <w:color w:val="000000"/>
          <w:sz w:val="32"/>
          <w:szCs w:val="32"/>
          <w:highlight w:val="none"/>
        </w:rPr>
        <w:t>（二）政府采购支出情况。</w:t>
      </w:r>
      <w:bookmarkEnd w:id="101"/>
      <w:bookmarkEnd w:id="102"/>
      <w:bookmarkEnd w:id="103"/>
      <w:bookmarkEnd w:id="104"/>
      <w:bookmarkEnd w:id="105"/>
      <w:bookmarkEnd w:id="10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2022年度</w:t>
      </w:r>
      <w:r>
        <w:rPr>
          <w:rFonts w:hint="eastAsia" w:ascii="仿宋_GB2312" w:hAnsi="ˎ̥" w:eastAsia="仿宋_GB2312"/>
          <w:color w:val="000000"/>
          <w:sz w:val="32"/>
          <w:szCs w:val="32"/>
          <w:highlight w:val="none"/>
          <w:lang w:eastAsia="zh-CN"/>
        </w:rPr>
        <w:t>三亚市健康教育所</w:t>
      </w:r>
      <w:r>
        <w:rPr>
          <w:rFonts w:hint="eastAsia" w:ascii="仿宋_GB2312" w:hAnsi="ˎ̥" w:eastAsia="仿宋_GB2312"/>
          <w:color w:val="000000"/>
          <w:sz w:val="32"/>
          <w:szCs w:val="32"/>
          <w:highlight w:val="none"/>
        </w:rPr>
        <w:t>政府采购支出总额</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楷体" w:hAnsi="楷体" w:eastAsia="楷体" w:cs="楷体"/>
          <w:bCs/>
          <w:color w:val="000000"/>
          <w:sz w:val="32"/>
          <w:szCs w:val="32"/>
          <w:highlight w:val="none"/>
        </w:rPr>
      </w:pPr>
      <w:r>
        <w:rPr>
          <w:rFonts w:hint="eastAsia" w:ascii="仿宋_GB2312" w:hAnsi="ˎ̥" w:eastAsia="仿宋_GB2312"/>
          <w:color w:val="000000"/>
          <w:sz w:val="32"/>
          <w:szCs w:val="32"/>
          <w:highlight w:val="none"/>
          <w:lang w:val="en-US" w:eastAsia="zh-CN"/>
        </w:rPr>
        <w:t xml:space="preserve">   </w:t>
      </w:r>
      <w:bookmarkStart w:id="107" w:name="_Toc6016_WPSOffice_Level2"/>
      <w:bookmarkStart w:id="108" w:name="_Toc19989_WPSOffice_Level2"/>
      <w:bookmarkStart w:id="109" w:name="_Toc29584_WPSOffice_Level2"/>
      <w:bookmarkStart w:id="110" w:name="_Toc15129_WPSOffice_Level2"/>
      <w:bookmarkStart w:id="111" w:name="_Toc10902_WPSOffice_Level2"/>
      <w:bookmarkStart w:id="112" w:name="_Toc527_WPSOffice_Level2"/>
      <w:r>
        <w:rPr>
          <w:rFonts w:hint="eastAsia" w:ascii="楷体" w:hAnsi="楷体" w:eastAsia="楷体" w:cs="楷体"/>
          <w:bCs/>
          <w:color w:val="000000"/>
          <w:sz w:val="32"/>
          <w:szCs w:val="32"/>
          <w:highlight w:val="none"/>
        </w:rPr>
        <w:t>（三）国有资产占用情况。</w:t>
      </w:r>
      <w:bookmarkEnd w:id="107"/>
      <w:bookmarkEnd w:id="108"/>
      <w:bookmarkEnd w:id="109"/>
      <w:bookmarkEnd w:id="110"/>
      <w:bookmarkEnd w:id="111"/>
      <w:bookmarkEnd w:id="11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bCs/>
          <w:color w:val="000000"/>
          <w:sz w:val="32"/>
          <w:szCs w:val="32"/>
          <w:highlight w:val="none"/>
        </w:rPr>
        <w:t>截至2022年12月31日，本</w:t>
      </w:r>
      <w:r>
        <w:rPr>
          <w:rFonts w:hint="eastAsia" w:ascii="仿宋_GB2312" w:hAnsi="ˎ̥" w:eastAsia="仿宋_GB2312"/>
          <w:bCs/>
          <w:color w:val="000000"/>
          <w:sz w:val="32"/>
          <w:szCs w:val="32"/>
          <w:highlight w:val="none"/>
          <w:lang w:eastAsia="zh-CN"/>
        </w:rPr>
        <w:t>单位</w:t>
      </w:r>
      <w:r>
        <w:rPr>
          <w:rFonts w:hint="eastAsia" w:ascii="仿宋_GB2312" w:hAnsi="ˎ̥" w:eastAsia="仿宋_GB2312"/>
          <w:bCs/>
          <w:color w:val="000000"/>
          <w:sz w:val="32"/>
          <w:szCs w:val="32"/>
          <w:highlight w:val="none"/>
        </w:rPr>
        <w:t>拥有</w:t>
      </w:r>
      <w:r>
        <w:rPr>
          <w:rFonts w:hint="eastAsia" w:ascii="仿宋_GB2312" w:hAnsi="ˎ̥" w:eastAsia="仿宋_GB2312"/>
          <w:color w:val="000000"/>
          <w:sz w:val="32"/>
          <w:szCs w:val="32"/>
          <w:highlight w:val="none"/>
        </w:rPr>
        <w:t>房屋面积</w:t>
      </w:r>
      <w:r>
        <w:rPr>
          <w:rFonts w:hint="eastAsia" w:ascii="仿宋_GB2312" w:hAnsi="ˎ̥" w:eastAsia="仿宋_GB2312"/>
          <w:color w:val="000000"/>
          <w:sz w:val="32"/>
          <w:szCs w:val="32"/>
          <w:highlight w:val="none"/>
          <w:lang w:val="en-US" w:eastAsia="zh-CN"/>
        </w:rPr>
        <w:t>60</w:t>
      </w:r>
      <w:r>
        <w:rPr>
          <w:rFonts w:hint="eastAsia" w:ascii="仿宋_GB2312" w:hAnsi="ˎ̥" w:eastAsia="仿宋_GB2312"/>
          <w:color w:val="000000"/>
          <w:sz w:val="32"/>
          <w:szCs w:val="32"/>
          <w:highlight w:val="none"/>
        </w:rPr>
        <w:t>平方米，</w:t>
      </w:r>
      <w:r>
        <w:rPr>
          <w:rFonts w:hint="eastAsia" w:ascii="仿宋_GB2312" w:hAnsi="ˎ̥" w:eastAsia="仿宋_GB2312"/>
          <w:color w:val="000000"/>
          <w:sz w:val="32"/>
          <w:szCs w:val="32"/>
          <w:highlight w:val="none"/>
          <w:lang w:eastAsia="zh-CN"/>
        </w:rPr>
        <w:t>借用三亚市卫生健康委员会房屋，为三亚市卫生健康委员会资产。</w:t>
      </w:r>
      <w:r>
        <w:rPr>
          <w:rFonts w:hint="eastAsia" w:ascii="仿宋_GB2312" w:hAnsi="ˎ̥" w:eastAsia="仿宋_GB2312"/>
          <w:color w:val="000000"/>
          <w:sz w:val="32"/>
          <w:szCs w:val="32"/>
          <w:highlight w:val="none"/>
        </w:rPr>
        <w:t>其中：办公用房</w:t>
      </w:r>
      <w:r>
        <w:rPr>
          <w:rFonts w:hint="eastAsia" w:ascii="仿宋_GB2312" w:hAnsi="ˎ̥" w:eastAsia="仿宋_GB2312"/>
          <w:color w:val="000000"/>
          <w:sz w:val="32"/>
          <w:szCs w:val="32"/>
          <w:highlight w:val="none"/>
          <w:lang w:val="en-US" w:eastAsia="zh-CN"/>
        </w:rPr>
        <w:t>60</w:t>
      </w:r>
      <w:r>
        <w:rPr>
          <w:rFonts w:hint="eastAsia" w:ascii="仿宋_GB2312" w:hAnsi="ˎ̥" w:eastAsia="仿宋_GB2312"/>
          <w:color w:val="000000"/>
          <w:sz w:val="32"/>
          <w:szCs w:val="32"/>
          <w:highlight w:val="none"/>
        </w:rPr>
        <w:t>平方米。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lang w:val="en-US" w:eastAsia="zh-CN"/>
        </w:rPr>
      </w:pPr>
      <w:r>
        <w:rPr>
          <w:rFonts w:hint="eastAsia" w:ascii="仿宋_GB2312" w:hAnsi="ˎ̥" w:eastAsia="仿宋_GB2312"/>
          <w:color w:val="000000"/>
          <w:sz w:val="32"/>
          <w:szCs w:val="32"/>
          <w:highlight w:val="none"/>
        </w:rPr>
        <w:t>本部门共有车辆</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辆</w:t>
      </w:r>
      <w:r>
        <w:rPr>
          <w:rFonts w:hint="eastAsia" w:ascii="仿宋_GB2312" w:hAnsi="ˎ̥" w:eastAsia="仿宋_GB2312"/>
          <w:color w:val="000000"/>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年末在建工程</w:t>
      </w:r>
      <w:r>
        <w:rPr>
          <w:rFonts w:hint="eastAsia" w:ascii="仿宋_GB2312" w:hAnsi="ˎ̥" w:eastAsia="仿宋_GB2312"/>
          <w:color w:val="000000"/>
          <w:sz w:val="32"/>
          <w:szCs w:val="32"/>
          <w:highlight w:val="none"/>
          <w:lang w:val="en-US" w:eastAsia="zh-CN"/>
        </w:rPr>
        <w:t>0</w:t>
      </w:r>
      <w:r>
        <w:rPr>
          <w:rFonts w:hint="eastAsia" w:ascii="仿宋_GB2312" w:hAnsi="ˎ̥" w:eastAsia="仿宋_GB2312"/>
          <w:color w:val="000000"/>
          <w:sz w:val="32"/>
          <w:szCs w:val="32"/>
          <w:highlight w:val="none"/>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bookmarkStart w:id="113" w:name="_Toc17580_WPSOffice_Level1"/>
      <w:bookmarkStart w:id="114" w:name="_Toc8808_WPSOffice_Level1"/>
      <w:bookmarkStart w:id="115" w:name="_Toc15425_WPSOffice_Level1"/>
      <w:bookmarkStart w:id="116" w:name="_Toc4398_WPSOffice_Level1"/>
      <w:bookmarkStart w:id="117" w:name="_Toc11039_WPSOffice_Level1"/>
      <w:bookmarkStart w:id="118" w:name="_Toc8874_WPSOffice_Level1"/>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r>
        <w:rPr>
          <w:rFonts w:hint="eastAsia" w:ascii="黑体" w:hAnsi="ˎ̥" w:eastAsia="黑体"/>
          <w:color w:val="000000"/>
          <w:sz w:val="32"/>
          <w:szCs w:val="32"/>
          <w:highlight w:val="none"/>
        </w:rPr>
        <w:t>第四部分  名词解释</w:t>
      </w:r>
      <w:bookmarkEnd w:id="113"/>
      <w:bookmarkEnd w:id="114"/>
      <w:bookmarkEnd w:id="115"/>
      <w:bookmarkEnd w:id="116"/>
      <w:bookmarkEnd w:id="117"/>
      <w:bookmarkEnd w:id="118"/>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ˎ̥" w:eastAsia="黑体"/>
          <w:color w:val="000000"/>
          <w:sz w:val="32"/>
          <w:szCs w:val="32"/>
          <w:highlight w:val="none"/>
        </w:rPr>
      </w:pP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财政拨款收入：指同级政府财政部门当年拨付的各类财政拨款。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二、上级补助收入：指事业单位从主管部门和上级单位取得的非财政补助收入。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三、事业收入：指事业单位开展专业业务活动及辅助活动取得的收入。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四、经营收入：指事业单位在专业业务活动及其辅助活动之外开展非独立核算经营活动取得的收入。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五、附属单位上缴收入：指事业单位取得附属独立核算单位根据有关规定上缴的收入。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六、其他收入：指除上述“财政拨款收入”“事业收入”“上级补助收入”“经营收入”“附属单位上缴收入”等以外的收入。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七、使用非财政拨款结余：指事业单位在当年的“财政拨款收入”“事业收入”“经营收入”“其他收入”等不足以安排当年支出的情况下，使用非同级财政拨款结余资金弥补本年度收支缺口。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八、年初结转和结余：指以前年度尚未完成、结转到本年按有关规定继续使用的资金，或项目已完成等产生的结余资金。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九、结余分配：指事业单位缴纳企业所得税以及从非财政拨款结余或经营结余中提取各类结余的情况。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十、年末结转和结余：指本年度或以前年度预算安排、因客观条件发生变化无法按原计划实施，需要延迟到以后年度按有关规定继续使用的资金（不包括事业单位非财政拨款结余和专用结余）。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十一、基本支出：指为保障机构正常运转、完成日常工作任务而发生的人员支出和公用支出。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十二、项目支出：指在基本支出之外为完成特定行政任务和事业发展目标所发生的支出。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十三、经营支出：指事业单位在专业业务活动及其辅助活动之外开展非独立核算经营活动发生的支出。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ˎ̥" w:eastAsia="仿宋_GB2312"/>
          <w:color w:val="000000"/>
          <w:sz w:val="32"/>
          <w:szCs w:val="32"/>
          <w:highlight w:val="none"/>
        </w:rPr>
      </w:pPr>
      <w:r>
        <w:rPr>
          <w:rFonts w:hint="eastAsia" w:ascii="仿宋_GB2312" w:hAnsi="ˎ̥" w:eastAsia="仿宋_GB2312"/>
          <w:color w:val="000000"/>
          <w:sz w:val="32"/>
          <w:szCs w:val="32"/>
          <w:highlight w:val="none"/>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pPr>
        <w:keepNext w:val="0"/>
        <w:keepLines w:val="0"/>
        <w:pageBreakBefore w:val="0"/>
        <w:kinsoku/>
        <w:wordWrap/>
        <w:overflowPunct/>
        <w:topLinePunct w:val="0"/>
        <w:autoSpaceDE/>
        <w:autoSpaceDN/>
        <w:bidi w:val="0"/>
        <w:adjustRightInd/>
        <w:snapToGrid/>
        <w:spacing w:line="560" w:lineRule="exact"/>
        <w:textAlignment w:val="auto"/>
        <w:rPr>
          <w:color w:val="000000"/>
          <w:highlight w:val="none"/>
        </w:rPr>
      </w:pPr>
    </w:p>
    <w:p/>
    <w:sectPr>
      <w:footerReference r:id="rId3" w:type="default"/>
      <w:footerReference r:id="rId4"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5"/>
                            </w:rPr>
                          </w:pPr>
                          <w:r>
                            <w:rPr>
                              <w:rStyle w:val="5"/>
                            </w:rPr>
                            <w:t xml:space="preserve">— </w:t>
                          </w:r>
                          <w:r>
                            <w:fldChar w:fldCharType="begin"/>
                          </w:r>
                          <w:r>
                            <w:rPr>
                              <w:rStyle w:val="5"/>
                            </w:rPr>
                            <w:instrText xml:space="preserve"> PAGE  \* MERGEFORMAT </w:instrText>
                          </w:r>
                          <w:r>
                            <w:fldChar w:fldCharType="separate"/>
                          </w:r>
                          <w:r>
                            <w:rPr>
                              <w:rStyle w:val="5"/>
                            </w:rPr>
                            <w:t>1</w:t>
                          </w:r>
                          <w:r>
                            <w:fldChar w:fldCharType="end"/>
                          </w:r>
                          <w:r>
                            <w:rPr>
                              <w:rStyle w:val="5"/>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2"/>
                      <w:rPr>
                        <w:rStyle w:val="5"/>
                      </w:rPr>
                    </w:pPr>
                    <w:r>
                      <w:rPr>
                        <w:rStyle w:val="5"/>
                      </w:rPr>
                      <w:t xml:space="preserve">— </w:t>
                    </w:r>
                    <w:r>
                      <w:fldChar w:fldCharType="begin"/>
                    </w:r>
                    <w:r>
                      <w:rPr>
                        <w:rStyle w:val="5"/>
                      </w:rPr>
                      <w:instrText xml:space="preserve"> PAGE  \* MERGEFORMAT </w:instrText>
                    </w:r>
                    <w:r>
                      <w:fldChar w:fldCharType="separate"/>
                    </w:r>
                    <w:r>
                      <w:rPr>
                        <w:rStyle w:val="5"/>
                      </w:rPr>
                      <w:t>1</w:t>
                    </w:r>
                    <w:r>
                      <w:fldChar w:fldCharType="end"/>
                    </w:r>
                    <w:r>
                      <w:rPr>
                        <w:rStyle w:val="5"/>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FC2DCC"/>
    <w:multiLevelType w:val="singleLevel"/>
    <w:tmpl w:val="AFFC2DCC"/>
    <w:lvl w:ilvl="0" w:tentative="0">
      <w:start w:val="1"/>
      <w:numFmt w:val="chineseCounting"/>
      <w:suff w:val="nothing"/>
      <w:lvlText w:val="%1、"/>
      <w:lvlJc w:val="left"/>
      <w:rPr>
        <w:rFonts w:hint="eastAsia"/>
      </w:rPr>
    </w:lvl>
  </w:abstractNum>
  <w:abstractNum w:abstractNumId="1">
    <w:nsid w:val="72109F8D"/>
    <w:multiLevelType w:val="singleLevel"/>
    <w:tmpl w:val="72109F8D"/>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316338"/>
    <w:rsid w:val="63316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qFormat/>
    <w:uiPriority w:val="0"/>
  </w:style>
  <w:style w:type="paragraph" w:customStyle="1" w:styleId="6">
    <w:name w:val="WPSOffice手动目录 1"/>
    <w:qFormat/>
    <w:uiPriority w:val="0"/>
    <w:rPr>
      <w:rFonts w:ascii="Times New Roman" w:hAnsi="Times New Roman" w:eastAsia="宋体" w:cs="Times New Roman"/>
      <w:lang w:val="en-US" w:eastAsia="zh-CN" w:bidi="ar-SA"/>
    </w:rPr>
  </w:style>
  <w:style w:type="paragraph" w:customStyle="1" w:styleId="7">
    <w:name w:val="WPSOffice手动目录 2"/>
    <w:qFormat/>
    <w:uiPriority w:val="0"/>
    <w:pPr>
      <w:ind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2023-10-25T03:28:00Z</dcterms:created>
  <dc:creator>adminstrator</dc:creator>
  <cp:lastModifiedBy>adminstrator</cp:lastModifiedBy>
  <dcterms:modified xsi:type="dcterms:W3CDTF">2023-10-25T03:29:36Z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