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Pr>
        <w:jc w:val="center"/>
        <w:rPr>
          <w:rFonts w:asciiTheme="majorEastAsia" w:hAnsiTheme="majorEastAsia" w:eastAsiaTheme="majorEastAsia" w:cstheme="majorEastAsia"/>
          <w:sz w:val="52"/>
          <w:szCs w:val="52"/>
        </w:rPr>
      </w:pPr>
    </w:p>
    <w:p>
      <w:pPr>
        <w:jc w:val="center"/>
        <w:rPr>
          <w:rFonts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3</w:t>
      </w:r>
      <w:r>
        <w:rPr>
          <w:rFonts w:hint="eastAsia" w:ascii="黑体" w:hAnsi="黑体" w:eastAsia="黑体"/>
          <w:sz w:val="44"/>
          <w:szCs w:val="44"/>
        </w:rPr>
        <w:t>年三亚市中医院预算</w:t>
      </w: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jc w:val="center"/>
        <w:rPr>
          <w:rFonts w:asciiTheme="majorEastAsia" w:hAnsiTheme="majorEastAsia" w:eastAsiaTheme="majorEastAsia" w:cstheme="majorEastAsia"/>
          <w:sz w:val="52"/>
          <w:szCs w:val="52"/>
        </w:rPr>
      </w:pPr>
    </w:p>
    <w:p>
      <w:pPr>
        <w:spacing w:line="500" w:lineRule="exact"/>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spacing w:line="500" w:lineRule="exact"/>
        <w:ind w:firstLineChars="0"/>
        <w:jc w:val="left"/>
        <w:rPr>
          <w:rFonts w:ascii="黑体" w:hAnsi="黑体" w:eastAsia="黑体"/>
          <w:sz w:val="32"/>
          <w:szCs w:val="32"/>
        </w:rPr>
      </w:pPr>
      <w:r>
        <w:rPr>
          <w:rFonts w:hint="eastAsia" w:ascii="黑体" w:hAnsi="黑体" w:eastAsia="黑体"/>
          <w:sz w:val="32"/>
          <w:szCs w:val="32"/>
        </w:rPr>
        <w:t>三亚市中医院概况</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亚市中医院位于吉阳区凤凰路106号，世界小姐选美赛址“美丽之冠”对面，面朝临春河，背靠凤凰山，环境优雅，是一家集医疗、教学、科研、保健、康复、传统医药国际交流与合作为一体的三级甲等中医医院。2008年，医院被批准为国家中医药管理局国际交流合作基地、对俄中医药合作协作组成员，被列为国家中医药服务贸易试点单位；2014年，医院被纳入国家首批中医药服务贸易先行先试骨干企业（机构）建设目录；2015年，医院入选中医药国际合作专项“中医药健康旅游示范基地建设单位”。2017年5月医院入选中医药传承创新工程“全国重点中医医院”储备库；2017年12月，三亚市中医院阿拉木图中医中心挂牌运营</w:t>
      </w:r>
      <w:r>
        <w:rPr>
          <w:rFonts w:hint="eastAsia" w:ascii="微软雅黑" w:hAnsi="微软雅黑" w:eastAsia="微软雅黑" w:cs="微软雅黑"/>
          <w:color w:val="333333"/>
          <w:kern w:val="0"/>
          <w:sz w:val="30"/>
          <w:szCs w:val="30"/>
          <w:shd w:val="clear" w:color="auto" w:fill="FFFFFF"/>
        </w:rPr>
        <w:t>；2018年</w:t>
      </w:r>
      <w:r>
        <w:rPr>
          <w:rFonts w:hint="eastAsia" w:ascii="Times New Roman" w:hAnsi="Times New Roman" w:eastAsia="仿宋_GB2312" w:cs="Times New Roman"/>
          <w:sz w:val="32"/>
          <w:szCs w:val="32"/>
        </w:rPr>
        <w:t>4月，国家公布第一批中医药健康旅游示范基地医院榜上有名；2018年6月，医院再次入选中医药国际合作专项“中国-亚欧国家中医药疗养国际合作基地（海南）”。同时，医院积极开展中医药文化传播，现为全国中医药文化宣传教育基地和海南省中医药文化宣传教育基地。2019年，医院入选国家中医药服务出口基地。</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始建于1991年，2008年整体从新风路搬迁至凤凰路，现院区占地45亩，总建筑面积55947.74平方米，编制床位630张。截止目前，全院在岗人数691人，博士11人，硕士89人，正高职称27人，副高职称56人，中级职称191人。其中，全国名老中医专家、国务院特殊津贴专家1人，第六批全国老中医药专家学术经验指导老师2人，国家优秀中医临床研修人才2人，广州中医药大学博士研究生导师1人、硕士研究生导师6人，长春中医药大学硕士研究生导师1人，湖南中医药大学硕士研究生导师1人。</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医院形成了10多个特色鲜明、疗效明显的专科，骨伤专科、</w:t>
      </w:r>
      <w:r>
        <w:rPr>
          <w:rFonts w:ascii="Times New Roman" w:hAnsi="Times New Roman" w:eastAsia="仿宋_GB2312" w:cs="Times New Roman"/>
          <w:sz w:val="32"/>
          <w:szCs w:val="32"/>
        </w:rPr>
        <w:t>脾胃病专科</w:t>
      </w:r>
      <w:r>
        <w:rPr>
          <w:rFonts w:hint="eastAsia" w:ascii="Times New Roman" w:hAnsi="Times New Roman" w:eastAsia="仿宋_GB2312" w:cs="Times New Roman"/>
          <w:sz w:val="32"/>
          <w:szCs w:val="32"/>
        </w:rPr>
        <w:t>、脑病专科、针灸专科、肾病专科等是国家级和省级的重点专科。护理学、临床药学、治未病科为国家中医重点专科协作组成员单位，急症医学科为国家重点临床学科共建单位，通过共管共建不仅提高临床疗效，而且推动中医药事业发展成果。2018年，医院召开学科建设发展会议，明确了心病、脑病、骨伤、康复、治未病为医院重点支持和发展的学科。</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医院配备1.5 T核磁共振、美国GE公司innova3100数字化平板血管机、64层螺旋CT、DR、SC2000高端心脏彩色多普勒、动态平板多功能X线透视摄像系统、日立prosound F75全数字化高档全身型彩色多普勒超声诊断仪、多功能全身彩超、腹腔镜、关节镜、C臂X光机、日立7600全自动生化分析仪、西门子移动式DR等进口系列先进设备，总价值1.2 亿元。</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2002年以来，医院突出中医药特色和优势，结合三亚得天独厚的自然环境和旅游资源，开设三亚欣欣荣中医疗养国际旅行社，率先在全国开展“中医疗养游”。至今，已接待俄罗斯、瑞典、挪威、奥地利、德国、法国等多国客人并接待国外疗养包机，为哈萨克斯坦总统纳扎尔巴耶夫、塔吉克斯坦总统拉赫默诺夫、俄罗斯联邦政府总理梅德韦杰夫、吉尔吉斯斯坦总理萨特巴尔季耶夫等政要在内的10万余名外宾提供高端定制中医药健康服务。圆满完成俄罗斯别斯兰恐怖事件两批受伤儿童和50名吉尔吉斯斯坦儿童的中医康复疗养任务，获得由俄罗斯联邦政府总理签发的“为中俄友谊作出贡献”奖状、俄罗斯联邦卫生和社会发展部颁发的荣誉状，收到中华人民共和国外交部和吉尔吉斯斯坦驻华大使馆、塔吉克斯坦驻华大使馆等国的感谢信。为进一步巩固和加强中医药服务贸易成果，更好服务国家“一带一路”战略，在中医药健康旅游示范基地建设的经验指导下，三亚市中医院阿拉木图中医中心、“中国-亚欧国家中医药疗养国际合作基地（海南）”、“国家中医药服务出口基地”正在全面推进建设，让国粹中医在“一带一路”绽放光彩。2020中国特色旅游商品大赛，三亚市中医院出品的“喜松堂”四季时令茶系列、“喜松堂”安康香囊系列、“喜松堂”植萃浴球获得专家评审组的一致好评，最终荣获2项金奖1项银奖。</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医院以仁、和、精、诚为服务理念，做到中医有特色、西医上水平，力争建设成为功能全面、特色鲜明，与海南自由贸易港相匹配的现代化中医医院。</w:t>
      </w:r>
    </w:p>
    <w:p>
      <w:pPr>
        <w:numPr>
          <w:ilvl w:val="0"/>
          <w:numId w:val="2"/>
        </w:numPr>
        <w:spacing w:line="500" w:lineRule="exact"/>
        <w:ind w:firstLine="600"/>
        <w:rPr>
          <w:rFonts w:ascii="微软雅黑" w:hAnsi="微软雅黑" w:eastAsia="微软雅黑" w:cs="微软雅黑"/>
          <w:color w:val="333333"/>
          <w:kern w:val="0"/>
          <w:sz w:val="30"/>
          <w:szCs w:val="30"/>
          <w:shd w:val="clear" w:color="auto" w:fill="FFFFFF"/>
        </w:rPr>
      </w:pPr>
      <w:r>
        <w:rPr>
          <w:rFonts w:hint="eastAsia" w:ascii="黑体" w:hAnsi="黑体" w:eastAsia="黑体"/>
          <w:sz w:val="32"/>
          <w:szCs w:val="32"/>
        </w:rPr>
        <w:t>主要职能</w:t>
      </w:r>
      <w:r>
        <w:rPr>
          <w:rFonts w:hint="eastAsia" w:ascii="微软雅黑" w:hAnsi="微软雅黑" w:eastAsia="微软雅黑" w:cs="微软雅黑"/>
          <w:color w:val="333333"/>
          <w:kern w:val="0"/>
          <w:sz w:val="30"/>
          <w:szCs w:val="30"/>
          <w:shd w:val="clear" w:color="auto" w:fill="FFFFFF"/>
        </w:rPr>
        <w:t xml:space="preserve">: </w:t>
      </w:r>
      <w:r>
        <w:rPr>
          <w:rFonts w:hint="eastAsia" w:ascii="Times New Roman" w:hAnsi="Times New Roman" w:eastAsia="仿宋_GB2312" w:cs="Times New Roman"/>
          <w:sz w:val="32"/>
          <w:szCs w:val="32"/>
        </w:rPr>
        <w:t xml:space="preserve">医疗与护理、医学教学、医学研究、专业人员培训。                           </w:t>
      </w:r>
    </w:p>
    <w:p>
      <w:pPr>
        <w:pStyle w:val="7"/>
        <w:numPr>
          <w:ilvl w:val="0"/>
          <w:numId w:val="1"/>
        </w:numPr>
        <w:spacing w:line="500" w:lineRule="exact"/>
        <w:ind w:firstLineChars="0"/>
        <w:rPr>
          <w:rFonts w:ascii="黑体" w:hAnsi="黑体" w:eastAsia="黑体"/>
          <w:sz w:val="32"/>
          <w:szCs w:val="32"/>
        </w:rPr>
      </w:pPr>
      <w:r>
        <w:rPr>
          <w:rFonts w:hint="eastAsia" w:ascii="黑体" w:hAnsi="黑体" w:eastAsia="黑体"/>
          <w:sz w:val="32"/>
          <w:szCs w:val="32"/>
        </w:rPr>
        <w:t>三亚市中医院202</w:t>
      </w:r>
      <w:r>
        <w:rPr>
          <w:rFonts w:hint="eastAsia" w:ascii="黑体" w:hAnsi="黑体" w:eastAsia="黑体"/>
          <w:sz w:val="32"/>
          <w:szCs w:val="32"/>
          <w:lang w:val="en-US" w:eastAsia="zh-CN"/>
        </w:rPr>
        <w:t>3</w:t>
      </w:r>
      <w:r>
        <w:rPr>
          <w:rFonts w:hint="eastAsia" w:ascii="黑体" w:hAnsi="黑体" w:eastAsia="黑体"/>
          <w:sz w:val="32"/>
          <w:szCs w:val="32"/>
        </w:rPr>
        <w:t>年单位预算表构成</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财政拨款收支总表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一般公共预算支出表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一般公共预算基本支出表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一般公共预算“三公”经费支出表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政府性基金预算支出表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政府性基金预算“三公”经费支出表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单位收支总表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单位收入总表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单位支出总表</w:t>
      </w:r>
    </w:p>
    <w:p>
      <w:pPr>
        <w:pStyle w:val="7"/>
        <w:numPr>
          <w:ilvl w:val="0"/>
          <w:numId w:val="3"/>
        </w:numPr>
        <w:spacing w:line="5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项目支出绩效信息表</w:t>
      </w:r>
    </w:p>
    <w:p>
      <w:pPr>
        <w:pStyle w:val="7"/>
        <w:spacing w:line="500" w:lineRule="exact"/>
        <w:ind w:left="420" w:leftChars="200" w:firstLine="0" w:firstLineChars="0"/>
        <w:rPr>
          <w:rFonts w:ascii="微软雅黑" w:hAnsi="微软雅黑" w:eastAsia="微软雅黑" w:cs="微软雅黑"/>
          <w:color w:val="333333"/>
          <w:kern w:val="0"/>
          <w:sz w:val="30"/>
          <w:szCs w:val="30"/>
          <w:shd w:val="clear" w:color="auto" w:fill="FFFFFF"/>
        </w:rPr>
      </w:pPr>
    </w:p>
    <w:p>
      <w:pPr>
        <w:pStyle w:val="7"/>
        <w:numPr>
          <w:ilvl w:val="0"/>
          <w:numId w:val="1"/>
        </w:numPr>
        <w:spacing w:line="500"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三亚市中医院</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年单位预算情况说明</w:t>
      </w:r>
    </w:p>
    <w:p>
      <w:pPr>
        <w:pStyle w:val="7"/>
        <w:numPr>
          <w:ilvl w:val="0"/>
          <w:numId w:val="4"/>
        </w:numPr>
        <w:spacing w:line="500" w:lineRule="exact"/>
        <w:ind w:firstLine="600"/>
        <w:jc w:val="left"/>
        <w:rPr>
          <w:rFonts w:ascii="仿宋_GB2312" w:hAnsi="仿宋_GB2312" w:eastAsia="仿宋_GB2312" w:cs="仿宋_GB2312"/>
          <w:sz w:val="32"/>
          <w:szCs w:val="32"/>
          <w:highlight w:val="none"/>
        </w:rPr>
      </w:pPr>
      <w:r>
        <w:rPr>
          <w:rFonts w:hint="eastAsia" w:ascii="微软雅黑" w:hAnsi="微软雅黑" w:eastAsia="微软雅黑" w:cs="微软雅黑"/>
          <w:color w:val="333333"/>
          <w:kern w:val="0"/>
          <w:sz w:val="30"/>
          <w:szCs w:val="30"/>
          <w:highlight w:val="none"/>
          <w:shd w:val="clear" w:color="auto" w:fill="FFFFFF"/>
        </w:rPr>
        <w:t>关于三亚市中医院202</w:t>
      </w:r>
      <w:r>
        <w:rPr>
          <w:rFonts w:hint="eastAsia" w:ascii="微软雅黑" w:hAnsi="微软雅黑" w:eastAsia="微软雅黑" w:cs="微软雅黑"/>
          <w:color w:val="333333"/>
          <w:kern w:val="0"/>
          <w:sz w:val="30"/>
          <w:szCs w:val="30"/>
          <w:highlight w:val="none"/>
          <w:shd w:val="clear" w:color="auto" w:fill="FFFFFF"/>
          <w:lang w:val="en-US" w:eastAsia="zh-CN"/>
        </w:rPr>
        <w:t>3</w:t>
      </w:r>
      <w:r>
        <w:rPr>
          <w:rFonts w:hint="eastAsia" w:ascii="微软雅黑" w:hAnsi="微软雅黑" w:eastAsia="微软雅黑" w:cs="微软雅黑"/>
          <w:color w:val="333333"/>
          <w:kern w:val="0"/>
          <w:sz w:val="30"/>
          <w:szCs w:val="30"/>
          <w:highlight w:val="none"/>
          <w:shd w:val="clear" w:color="auto" w:fill="FFFFFF"/>
        </w:rPr>
        <w:t>年财政拨款收支预算情况总体说明</w:t>
      </w:r>
    </w:p>
    <w:p>
      <w:pPr>
        <w:pStyle w:val="7"/>
        <w:spacing w:line="500" w:lineRule="exact"/>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年财政拨款收支总预算</w:t>
      </w:r>
      <w:r>
        <w:rPr>
          <w:rFonts w:hint="eastAsia" w:ascii="Times New Roman" w:hAnsi="Times New Roman" w:eastAsia="仿宋_GB2312" w:cs="Times New Roman"/>
          <w:sz w:val="32"/>
          <w:szCs w:val="32"/>
          <w:highlight w:val="none"/>
          <w:lang w:val="en-US" w:eastAsia="zh-CN"/>
        </w:rPr>
        <w:t>6727.10</w:t>
      </w:r>
      <w:r>
        <w:rPr>
          <w:rFonts w:hint="eastAsia" w:ascii="Times New Roman" w:hAnsi="Times New Roman" w:eastAsia="仿宋_GB2312" w:cs="Times New Roman"/>
          <w:sz w:val="32"/>
          <w:szCs w:val="32"/>
          <w:highlight w:val="none"/>
        </w:rPr>
        <w:t xml:space="preserve"> 万元。其中收入总计</w:t>
      </w:r>
      <w:r>
        <w:rPr>
          <w:rFonts w:hint="eastAsia" w:ascii="Times New Roman" w:hAnsi="Times New Roman" w:eastAsia="仿宋_GB2312" w:cs="Times New Roman"/>
          <w:sz w:val="32"/>
          <w:szCs w:val="32"/>
          <w:highlight w:val="none"/>
          <w:lang w:val="en-US" w:eastAsia="zh-CN"/>
        </w:rPr>
        <w:t>6237.92</w:t>
      </w:r>
      <w:r>
        <w:rPr>
          <w:rFonts w:hint="eastAsia" w:ascii="Times New Roman" w:hAnsi="Times New Roman" w:eastAsia="仿宋_GB2312" w:cs="Times New Roman"/>
          <w:sz w:val="32"/>
          <w:szCs w:val="32"/>
          <w:highlight w:val="none"/>
        </w:rPr>
        <w:t>万元，包括一般公共预算收入</w:t>
      </w:r>
      <w:r>
        <w:rPr>
          <w:rFonts w:hint="eastAsia" w:ascii="Times New Roman" w:hAnsi="Times New Roman" w:eastAsia="仿宋_GB2312" w:cs="Times New Roman"/>
          <w:sz w:val="32"/>
          <w:szCs w:val="32"/>
          <w:highlight w:val="none"/>
          <w:lang w:val="en-US" w:eastAsia="zh-CN"/>
        </w:rPr>
        <w:t>6237.92</w:t>
      </w:r>
      <w:r>
        <w:rPr>
          <w:rFonts w:hint="eastAsia" w:ascii="Times New Roman" w:hAnsi="Times New Roman" w:eastAsia="仿宋_GB2312" w:cs="Times New Roman"/>
          <w:sz w:val="32"/>
          <w:szCs w:val="32"/>
          <w:highlight w:val="none"/>
        </w:rPr>
        <w:t>万元；上年结转</w:t>
      </w:r>
      <w:r>
        <w:rPr>
          <w:rFonts w:hint="eastAsia" w:ascii="Times New Roman" w:hAnsi="Times New Roman" w:eastAsia="仿宋_GB2312" w:cs="Times New Roman"/>
          <w:sz w:val="32"/>
          <w:szCs w:val="32"/>
          <w:highlight w:val="none"/>
          <w:lang w:val="en-US" w:eastAsia="zh-CN"/>
        </w:rPr>
        <w:t>489.18</w:t>
      </w:r>
      <w:r>
        <w:rPr>
          <w:rFonts w:hint="eastAsia" w:ascii="Times New Roman" w:hAnsi="Times New Roman" w:eastAsia="仿宋_GB2312" w:cs="Times New Roman"/>
          <w:sz w:val="32"/>
          <w:szCs w:val="32"/>
          <w:highlight w:val="none"/>
        </w:rPr>
        <w:t>万元，包括一般</w:t>
      </w:r>
      <w:r>
        <w:rPr>
          <w:rFonts w:hint="eastAsia" w:ascii="Times New Roman" w:hAnsi="Times New Roman" w:eastAsia="仿宋_GB2312" w:cs="Times New Roman"/>
          <w:sz w:val="32"/>
          <w:szCs w:val="32"/>
          <w:highlight w:val="none"/>
          <w:lang w:val="en-US" w:eastAsia="zh-CN"/>
        </w:rPr>
        <w:t>公</w:t>
      </w:r>
      <w:r>
        <w:rPr>
          <w:rFonts w:hint="eastAsia" w:ascii="Times New Roman" w:hAnsi="Times New Roman" w:eastAsia="仿宋_GB2312" w:cs="Times New Roman"/>
          <w:sz w:val="32"/>
          <w:szCs w:val="32"/>
          <w:highlight w:val="none"/>
        </w:rPr>
        <w:t>共预算收入</w:t>
      </w:r>
      <w:r>
        <w:rPr>
          <w:rFonts w:hint="eastAsia" w:ascii="Times New Roman" w:hAnsi="Times New Roman" w:eastAsia="仿宋_GB2312" w:cs="Times New Roman"/>
          <w:sz w:val="32"/>
          <w:szCs w:val="32"/>
          <w:highlight w:val="none"/>
          <w:lang w:val="en-US" w:eastAsia="zh-CN"/>
        </w:rPr>
        <w:t>470.12</w:t>
      </w:r>
      <w:r>
        <w:rPr>
          <w:rFonts w:hint="eastAsia" w:ascii="Times New Roman" w:hAnsi="Times New Roman" w:eastAsia="仿宋_GB2312" w:cs="Times New Roman"/>
          <w:sz w:val="32"/>
          <w:szCs w:val="32"/>
          <w:highlight w:val="none"/>
        </w:rPr>
        <w:t>万元，政府性基金预算资金</w:t>
      </w:r>
      <w:r>
        <w:rPr>
          <w:rFonts w:hint="eastAsia" w:ascii="Times New Roman" w:hAnsi="Times New Roman" w:eastAsia="仿宋_GB2312" w:cs="Times New Roman"/>
          <w:sz w:val="32"/>
          <w:szCs w:val="32"/>
          <w:highlight w:val="none"/>
          <w:lang w:val="en-US" w:eastAsia="zh-CN"/>
        </w:rPr>
        <w:t>19.06</w:t>
      </w:r>
      <w:r>
        <w:rPr>
          <w:rFonts w:hint="eastAsia" w:ascii="Times New Roman" w:hAnsi="Times New Roman" w:eastAsia="仿宋_GB2312" w:cs="Times New Roman"/>
          <w:sz w:val="32"/>
          <w:szCs w:val="32"/>
          <w:highlight w:val="none"/>
        </w:rPr>
        <w:t>万元；支出总计</w:t>
      </w:r>
      <w:r>
        <w:rPr>
          <w:rFonts w:hint="eastAsia" w:ascii="Times New Roman" w:hAnsi="Times New Roman" w:eastAsia="仿宋_GB2312" w:cs="Times New Roman"/>
          <w:sz w:val="32"/>
          <w:szCs w:val="32"/>
          <w:highlight w:val="none"/>
          <w:lang w:val="en-US" w:eastAsia="zh-CN"/>
        </w:rPr>
        <w:t>6727.10</w:t>
      </w:r>
      <w:r>
        <w:rPr>
          <w:rFonts w:hint="eastAsia" w:ascii="Times New Roman" w:hAnsi="Times New Roman" w:eastAsia="仿宋_GB2312" w:cs="Times New Roman"/>
          <w:sz w:val="32"/>
          <w:szCs w:val="32"/>
          <w:highlight w:val="none"/>
        </w:rPr>
        <w:t>万元，包括社会保障和就业支出</w:t>
      </w:r>
      <w:r>
        <w:rPr>
          <w:rFonts w:hint="eastAsia" w:ascii="Times New Roman" w:hAnsi="Times New Roman" w:eastAsia="仿宋_GB2312" w:cs="Times New Roman"/>
          <w:sz w:val="32"/>
          <w:szCs w:val="32"/>
          <w:highlight w:val="none"/>
          <w:lang w:val="en-US" w:eastAsia="zh-CN"/>
        </w:rPr>
        <w:t>637.92</w:t>
      </w:r>
      <w:r>
        <w:rPr>
          <w:rFonts w:hint="eastAsia" w:ascii="Times New Roman" w:hAnsi="Times New Roman" w:eastAsia="仿宋_GB2312" w:cs="Times New Roman"/>
          <w:sz w:val="32"/>
          <w:szCs w:val="32"/>
          <w:highlight w:val="none"/>
        </w:rPr>
        <w:t>万元，卫生健康支出</w:t>
      </w:r>
      <w:r>
        <w:rPr>
          <w:rFonts w:hint="eastAsia" w:ascii="Times New Roman" w:hAnsi="Times New Roman" w:eastAsia="仿宋_GB2312" w:cs="Times New Roman"/>
          <w:sz w:val="32"/>
          <w:szCs w:val="32"/>
          <w:highlight w:val="none"/>
          <w:lang w:val="en-US" w:eastAsia="zh-CN"/>
        </w:rPr>
        <w:t>6070.12</w:t>
      </w:r>
      <w:r>
        <w:rPr>
          <w:rFonts w:hint="eastAsia" w:ascii="Times New Roman" w:hAnsi="Times New Roman" w:eastAsia="仿宋_GB2312" w:cs="Times New Roman"/>
          <w:sz w:val="32"/>
          <w:szCs w:val="32"/>
          <w:highlight w:val="none"/>
        </w:rPr>
        <w:t>万元，其他支出</w:t>
      </w:r>
      <w:r>
        <w:rPr>
          <w:rFonts w:hint="eastAsia" w:ascii="Times New Roman" w:hAnsi="Times New Roman" w:eastAsia="仿宋_GB2312" w:cs="Times New Roman"/>
          <w:sz w:val="32"/>
          <w:szCs w:val="32"/>
          <w:highlight w:val="none"/>
          <w:lang w:val="en-US" w:eastAsia="zh-CN"/>
        </w:rPr>
        <w:t>19.06</w:t>
      </w:r>
      <w:r>
        <w:rPr>
          <w:rFonts w:hint="eastAsia" w:ascii="Times New Roman" w:hAnsi="Times New Roman" w:eastAsia="仿宋_GB2312" w:cs="Times New Roman"/>
          <w:sz w:val="32"/>
          <w:szCs w:val="32"/>
          <w:highlight w:val="none"/>
        </w:rPr>
        <w:t>万元。</w:t>
      </w:r>
    </w:p>
    <w:p>
      <w:pPr>
        <w:pStyle w:val="7"/>
        <w:spacing w:line="500" w:lineRule="exact"/>
        <w:ind w:firstLine="0" w:firstLineChars="0"/>
        <w:jc w:val="left"/>
        <w:rPr>
          <w:rFonts w:ascii="微软雅黑" w:hAnsi="微软雅黑" w:eastAsia="微软雅黑" w:cs="微软雅黑"/>
          <w:color w:val="333333"/>
          <w:kern w:val="0"/>
          <w:sz w:val="30"/>
          <w:szCs w:val="30"/>
          <w:highlight w:val="none"/>
          <w:shd w:val="clear" w:color="auto" w:fill="FFFFFF"/>
        </w:rPr>
      </w:pPr>
      <w:r>
        <w:rPr>
          <w:rFonts w:hint="eastAsia" w:ascii="微软雅黑" w:hAnsi="微软雅黑" w:eastAsia="微软雅黑" w:cs="微软雅黑"/>
          <w:color w:val="333333"/>
          <w:kern w:val="0"/>
          <w:sz w:val="30"/>
          <w:szCs w:val="30"/>
          <w:highlight w:val="none"/>
          <w:shd w:val="clear" w:color="auto" w:fill="FFFFFF"/>
        </w:rPr>
        <w:t>二、关于三亚市中医院202</w:t>
      </w:r>
      <w:r>
        <w:rPr>
          <w:rFonts w:hint="eastAsia" w:ascii="微软雅黑" w:hAnsi="微软雅黑" w:eastAsia="微软雅黑" w:cs="微软雅黑"/>
          <w:color w:val="333333"/>
          <w:kern w:val="0"/>
          <w:sz w:val="30"/>
          <w:szCs w:val="30"/>
          <w:highlight w:val="none"/>
          <w:shd w:val="clear" w:color="auto" w:fill="FFFFFF"/>
          <w:lang w:val="en-US" w:eastAsia="zh-CN"/>
        </w:rPr>
        <w:t>3</w:t>
      </w:r>
      <w:r>
        <w:rPr>
          <w:rFonts w:hint="eastAsia" w:ascii="微软雅黑" w:hAnsi="微软雅黑" w:eastAsia="微软雅黑" w:cs="微软雅黑"/>
          <w:color w:val="333333"/>
          <w:kern w:val="0"/>
          <w:sz w:val="30"/>
          <w:szCs w:val="30"/>
          <w:highlight w:val="none"/>
          <w:shd w:val="clear" w:color="auto" w:fill="FFFFFF"/>
        </w:rPr>
        <w:t>年一般公共预算当年拨款情况说明</w:t>
      </w:r>
    </w:p>
    <w:p>
      <w:pPr>
        <w:pStyle w:val="7"/>
        <w:spacing w:line="500" w:lineRule="exact"/>
        <w:ind w:firstLine="600"/>
        <w:jc w:val="left"/>
        <w:rPr>
          <w:rFonts w:ascii="Times New Roman" w:hAnsi="Times New Roman" w:eastAsia="楷体" w:cs="Times New Roman"/>
          <w:sz w:val="32"/>
          <w:szCs w:val="32"/>
          <w:highlight w:val="none"/>
        </w:rPr>
      </w:pPr>
      <w:r>
        <w:rPr>
          <w:rFonts w:hint="eastAsia" w:ascii="微软雅黑" w:hAnsi="微软雅黑" w:eastAsia="微软雅黑" w:cs="微软雅黑"/>
          <w:color w:val="333333"/>
          <w:kern w:val="0"/>
          <w:sz w:val="30"/>
          <w:szCs w:val="30"/>
          <w:highlight w:val="none"/>
          <w:shd w:val="clear" w:color="auto" w:fill="FFFFFF"/>
        </w:rPr>
        <w:t>（一）</w:t>
      </w:r>
      <w:r>
        <w:rPr>
          <w:rFonts w:hint="eastAsia" w:ascii="Times New Roman" w:hAnsi="Times New Roman" w:eastAsia="楷体" w:cs="Times New Roman"/>
          <w:sz w:val="32"/>
          <w:szCs w:val="32"/>
          <w:highlight w:val="none"/>
        </w:rPr>
        <w:t>一般公共预算当年规模变化情况</w:t>
      </w:r>
    </w:p>
    <w:p>
      <w:pPr>
        <w:pStyle w:val="7"/>
        <w:spacing w:line="500" w:lineRule="exact"/>
        <w:ind w:firstLine="800" w:firstLineChars="250"/>
        <w:jc w:val="left"/>
        <w:rPr>
          <w:rFonts w:hint="default" w:ascii="Times New Roman" w:hAnsi="Times New Roman" w:eastAsia="仿宋_GB2312" w:cs="Times New Roman"/>
          <w:sz w:val="32"/>
          <w:szCs w:val="32"/>
          <w:highlight w:val="none"/>
          <w:lang w:val="en-US"/>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年一般公共预算当年拨款</w:t>
      </w:r>
      <w:r>
        <w:rPr>
          <w:rFonts w:hint="eastAsia" w:ascii="Times New Roman" w:hAnsi="Times New Roman" w:eastAsia="仿宋_GB2312" w:cs="Times New Roman"/>
          <w:sz w:val="32"/>
          <w:szCs w:val="32"/>
          <w:highlight w:val="none"/>
          <w:lang w:val="en-US" w:eastAsia="zh-CN"/>
        </w:rPr>
        <w:t>6237.92</w:t>
      </w:r>
      <w:r>
        <w:rPr>
          <w:rFonts w:hint="eastAsia" w:ascii="Times New Roman" w:hAnsi="Times New Roman" w:eastAsia="仿宋_GB2312" w:cs="Times New Roman"/>
          <w:sz w:val="32"/>
          <w:szCs w:val="32"/>
          <w:highlight w:val="none"/>
        </w:rPr>
        <w:t>万元，比上年预算数</w:t>
      </w:r>
      <w:r>
        <w:rPr>
          <w:rFonts w:hint="eastAsia" w:ascii="Times New Roman" w:hAnsi="Times New Roman" w:eastAsia="仿宋_GB2312" w:cs="Times New Roman"/>
          <w:sz w:val="32"/>
          <w:szCs w:val="32"/>
          <w:highlight w:val="none"/>
          <w:lang w:val="en-US" w:eastAsia="zh-CN"/>
        </w:rPr>
        <w:t>增加1800.04万元</w:t>
      </w:r>
      <w:r>
        <w:rPr>
          <w:rFonts w:hint="eastAsia" w:ascii="Times New Roman" w:hAnsi="Times New Roman" w:eastAsia="仿宋_GB2312" w:cs="Times New Roman"/>
          <w:sz w:val="32"/>
          <w:szCs w:val="32"/>
          <w:highlight w:val="none"/>
        </w:rPr>
        <w:t>，主要原因是（1）专用设备购置经费</w:t>
      </w:r>
      <w:r>
        <w:rPr>
          <w:rFonts w:hint="eastAsia" w:ascii="Times New Roman" w:hAnsi="Times New Roman" w:eastAsia="仿宋_GB2312" w:cs="Times New Roman"/>
          <w:sz w:val="32"/>
          <w:szCs w:val="32"/>
          <w:highlight w:val="none"/>
          <w:lang w:val="en-US" w:eastAsia="zh-CN"/>
        </w:rPr>
        <w:t>增加</w:t>
      </w:r>
      <w:r>
        <w:rPr>
          <w:rFonts w:hint="eastAsia" w:ascii="Times New Roman" w:hAnsi="Times New Roman" w:eastAsia="仿宋_GB2312" w:cs="Times New Roman"/>
          <w:sz w:val="32"/>
          <w:szCs w:val="32"/>
          <w:highlight w:val="none"/>
        </w:rPr>
        <w:t>了</w:t>
      </w:r>
      <w:r>
        <w:rPr>
          <w:rFonts w:hint="eastAsia" w:ascii="Times New Roman" w:hAnsi="Times New Roman" w:eastAsia="仿宋_GB2312" w:cs="Times New Roman"/>
          <w:sz w:val="32"/>
          <w:szCs w:val="32"/>
          <w:highlight w:val="none"/>
          <w:lang w:val="en-US" w:eastAsia="zh-CN"/>
        </w:rPr>
        <w:t>1270</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人才开发专项</w:t>
      </w:r>
      <w:r>
        <w:rPr>
          <w:rFonts w:hint="eastAsia" w:ascii="Times New Roman" w:hAnsi="Times New Roman" w:eastAsia="仿宋_GB2312" w:cs="Times New Roman"/>
          <w:sz w:val="32"/>
          <w:szCs w:val="32"/>
          <w:highlight w:val="none"/>
        </w:rPr>
        <w:t>300万元的增加；（</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运营费用230万元的增加；（4）机关事业单位基本养老保险缴费增加0.4万元。</w:t>
      </w:r>
    </w:p>
    <w:p>
      <w:pPr>
        <w:pStyle w:val="7"/>
        <w:spacing w:line="500" w:lineRule="exact"/>
        <w:ind w:firstLine="300" w:firstLineChars="100"/>
        <w:jc w:val="left"/>
        <w:rPr>
          <w:rFonts w:ascii="Times New Roman" w:hAnsi="Times New Roman" w:eastAsia="楷体" w:cs="Times New Roman"/>
          <w:sz w:val="32"/>
          <w:szCs w:val="32"/>
          <w:highlight w:val="none"/>
        </w:rPr>
      </w:pPr>
      <w:r>
        <w:rPr>
          <w:rFonts w:hint="eastAsia" w:ascii="微软雅黑" w:hAnsi="微软雅黑" w:eastAsia="微软雅黑" w:cs="微软雅黑"/>
          <w:color w:val="333333"/>
          <w:kern w:val="0"/>
          <w:sz w:val="30"/>
          <w:szCs w:val="30"/>
          <w:highlight w:val="none"/>
          <w:shd w:val="clear" w:color="auto" w:fill="FFFFFF"/>
        </w:rPr>
        <w:t>（二）</w:t>
      </w:r>
      <w:r>
        <w:rPr>
          <w:rFonts w:hint="eastAsia" w:ascii="Times New Roman" w:hAnsi="Times New Roman" w:eastAsia="楷体" w:cs="Times New Roman"/>
          <w:sz w:val="32"/>
          <w:szCs w:val="32"/>
          <w:highlight w:val="none"/>
        </w:rPr>
        <w:t>一般公共预算当年拨款结构情况</w:t>
      </w:r>
    </w:p>
    <w:p>
      <w:pPr>
        <w:pStyle w:val="7"/>
        <w:spacing w:line="500" w:lineRule="exact"/>
        <w:ind w:firstLine="64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一般公共预算支出</w:t>
      </w:r>
      <w:r>
        <w:rPr>
          <w:rFonts w:hint="eastAsia" w:ascii="Times New Roman" w:hAnsi="Times New Roman" w:eastAsia="仿宋_GB2312" w:cs="Times New Roman"/>
          <w:sz w:val="32"/>
          <w:szCs w:val="32"/>
          <w:highlight w:val="none"/>
          <w:lang w:val="en-US" w:eastAsia="zh-CN"/>
        </w:rPr>
        <w:t>6237.92</w:t>
      </w:r>
      <w:r>
        <w:rPr>
          <w:rFonts w:hint="eastAsia" w:ascii="Times New Roman" w:hAnsi="Times New Roman" w:eastAsia="仿宋_GB2312" w:cs="Times New Roman"/>
          <w:sz w:val="32"/>
          <w:szCs w:val="32"/>
          <w:highlight w:val="none"/>
        </w:rPr>
        <w:t>万元，占一般公共预算总支出100%。其中社会保障和就业支出</w:t>
      </w:r>
      <w:r>
        <w:rPr>
          <w:rFonts w:hint="eastAsia" w:ascii="Times New Roman" w:hAnsi="Times New Roman" w:eastAsia="仿宋_GB2312" w:cs="Times New Roman"/>
          <w:sz w:val="32"/>
          <w:szCs w:val="32"/>
          <w:highlight w:val="none"/>
          <w:lang w:val="en-US" w:eastAsia="zh-CN"/>
        </w:rPr>
        <w:t>637.92</w:t>
      </w:r>
      <w:r>
        <w:rPr>
          <w:rFonts w:hint="eastAsia" w:ascii="Times New Roman" w:hAnsi="Times New Roman" w:eastAsia="仿宋_GB2312" w:cs="Times New Roman"/>
          <w:sz w:val="32"/>
          <w:szCs w:val="32"/>
          <w:highlight w:val="none"/>
        </w:rPr>
        <w:t>万元，占一般公共预算总支出</w:t>
      </w:r>
      <w:r>
        <w:rPr>
          <w:rFonts w:hint="eastAsia" w:ascii="Times New Roman" w:hAnsi="Times New Roman" w:eastAsia="仿宋_GB2312" w:cs="Times New Roman"/>
          <w:sz w:val="32"/>
          <w:szCs w:val="32"/>
          <w:highlight w:val="none"/>
          <w:lang w:val="en-US" w:eastAsia="zh-CN"/>
        </w:rPr>
        <w:t>10.23</w:t>
      </w:r>
      <w:r>
        <w:rPr>
          <w:rFonts w:hint="eastAsia" w:ascii="Times New Roman" w:hAnsi="Times New Roman" w:eastAsia="仿宋_GB2312" w:cs="Times New Roman"/>
          <w:sz w:val="32"/>
          <w:szCs w:val="32"/>
          <w:highlight w:val="none"/>
        </w:rPr>
        <w:t>%；卫生健康支出</w:t>
      </w:r>
      <w:r>
        <w:rPr>
          <w:rFonts w:hint="eastAsia" w:ascii="Times New Roman" w:hAnsi="Times New Roman" w:eastAsia="仿宋_GB2312" w:cs="Times New Roman"/>
          <w:sz w:val="32"/>
          <w:szCs w:val="32"/>
          <w:highlight w:val="none"/>
          <w:lang w:val="en-US" w:eastAsia="zh-CN"/>
        </w:rPr>
        <w:t>5600</w:t>
      </w:r>
      <w:r>
        <w:rPr>
          <w:rFonts w:hint="eastAsia" w:ascii="Times New Roman" w:hAnsi="Times New Roman" w:eastAsia="仿宋_GB2312" w:cs="Times New Roman"/>
          <w:sz w:val="32"/>
          <w:szCs w:val="32"/>
          <w:highlight w:val="none"/>
        </w:rPr>
        <w:t>万元，占一般公共预算总支出</w:t>
      </w:r>
      <w:r>
        <w:rPr>
          <w:rFonts w:hint="eastAsia" w:ascii="Times New Roman" w:hAnsi="Times New Roman" w:eastAsia="仿宋_GB2312" w:cs="Times New Roman"/>
          <w:sz w:val="32"/>
          <w:szCs w:val="32"/>
          <w:highlight w:val="none"/>
          <w:lang w:val="en-US" w:eastAsia="zh-CN"/>
        </w:rPr>
        <w:t>89.77</w:t>
      </w:r>
      <w:r>
        <w:rPr>
          <w:rFonts w:hint="eastAsia" w:ascii="Times New Roman" w:hAnsi="Times New Roman" w:eastAsia="仿宋_GB2312" w:cs="Times New Roman"/>
          <w:sz w:val="32"/>
          <w:szCs w:val="32"/>
          <w:highlight w:val="none"/>
        </w:rPr>
        <w:t>%。</w:t>
      </w:r>
    </w:p>
    <w:p>
      <w:pPr>
        <w:numPr>
          <w:ilvl w:val="0"/>
          <w:numId w:val="5"/>
        </w:numPr>
        <w:ind w:firstLine="640"/>
        <w:jc w:val="left"/>
        <w:rPr>
          <w:rFonts w:ascii="Times New Roman" w:hAnsi="Times New Roman" w:eastAsia="楷体" w:cs="Times New Roman"/>
          <w:color w:val="000000" w:themeColor="text1"/>
          <w:sz w:val="32"/>
          <w:szCs w:val="32"/>
          <w:highlight w:val="none"/>
        </w:rPr>
      </w:pPr>
      <w:r>
        <w:rPr>
          <w:rFonts w:ascii="Times New Roman" w:hAnsi="Times New Roman" w:eastAsia="楷体" w:cs="Times New Roman"/>
          <w:color w:val="000000" w:themeColor="text1"/>
          <w:sz w:val="32"/>
          <w:szCs w:val="32"/>
          <w:highlight w:val="none"/>
        </w:rPr>
        <w:t>一般公共预算当年拨款具体使用情况</w:t>
      </w:r>
    </w:p>
    <w:p>
      <w:pPr>
        <w:ind w:firstLine="640" w:firstLineChars="200"/>
        <w:jc w:val="both"/>
        <w:rPr>
          <w:rFonts w:ascii="Times New Roman"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lang w:val="en-US" w:eastAsia="zh-CN"/>
        </w:rPr>
        <w:t>1</w:t>
      </w:r>
      <w:r>
        <w:rPr>
          <w:rFonts w:hint="eastAsia" w:ascii="Times New Roman" w:hAnsi="Times New Roman" w:eastAsia="仿宋_GB2312" w:cs="Times New Roman"/>
          <w:color w:val="000000" w:themeColor="text1"/>
          <w:sz w:val="32"/>
          <w:szCs w:val="32"/>
          <w:highlight w:val="none"/>
        </w:rPr>
        <w:t>、</w:t>
      </w:r>
      <w:r>
        <w:rPr>
          <w:rFonts w:ascii="Times New Roman" w:hAnsi="Times New Roman" w:eastAsia="仿宋_GB2312" w:cs="Times New Roman"/>
          <w:color w:val="000000" w:themeColor="text1"/>
          <w:sz w:val="32"/>
          <w:szCs w:val="32"/>
          <w:highlight w:val="none"/>
        </w:rPr>
        <w:t>一般公共</w:t>
      </w:r>
      <w:r>
        <w:rPr>
          <w:rFonts w:hint="eastAsia" w:ascii="Times New Roman" w:hAnsi="Times New Roman" w:eastAsia="仿宋_GB2312" w:cs="Times New Roman"/>
          <w:color w:val="000000" w:themeColor="text1"/>
          <w:sz w:val="32"/>
          <w:szCs w:val="32"/>
          <w:highlight w:val="none"/>
        </w:rPr>
        <w:t>预算</w:t>
      </w:r>
      <w:r>
        <w:rPr>
          <w:rFonts w:ascii="Times New Roman" w:hAnsi="Times New Roman" w:eastAsia="仿宋_GB2312" w:cs="Times New Roman"/>
          <w:color w:val="000000" w:themeColor="text1"/>
          <w:sz w:val="32"/>
          <w:szCs w:val="32"/>
          <w:highlight w:val="none"/>
        </w:rPr>
        <w:t>社会保障和就业支出</w:t>
      </w:r>
      <w:r>
        <w:rPr>
          <w:rFonts w:hint="eastAsia" w:ascii="Times New Roman" w:hAnsi="Times New Roman" w:eastAsia="仿宋_GB2312" w:cs="Times New Roman"/>
          <w:color w:val="000000" w:themeColor="text1"/>
          <w:sz w:val="32"/>
          <w:szCs w:val="32"/>
          <w:highlight w:val="none"/>
        </w:rPr>
        <w:t>（类）</w:t>
      </w:r>
      <w:r>
        <w:rPr>
          <w:rFonts w:ascii="Times New Roman" w:hAnsi="Times New Roman" w:eastAsia="仿宋_GB2312" w:cs="Times New Roman"/>
          <w:color w:val="000000" w:themeColor="text1"/>
          <w:sz w:val="32"/>
          <w:szCs w:val="32"/>
          <w:highlight w:val="none"/>
        </w:rPr>
        <w:t>行</w:t>
      </w:r>
      <w:r>
        <w:rPr>
          <w:rFonts w:hint="eastAsia" w:ascii="Times New Roman" w:hAnsi="Times New Roman" w:eastAsia="仿宋_GB2312" w:cs="Times New Roman"/>
          <w:color w:val="000000" w:themeColor="text1"/>
          <w:sz w:val="32"/>
          <w:szCs w:val="32"/>
          <w:highlight w:val="none"/>
        </w:rPr>
        <w:t>事业单</w:t>
      </w:r>
    </w:p>
    <w:p>
      <w:pPr>
        <w:jc w:val="both"/>
        <w:rPr>
          <w:rFonts w:hint="default" w:ascii="Times New Roman" w:hAnsi="Times New Roman" w:eastAsia="仿宋_GB2312" w:cs="Times New Roman"/>
          <w:color w:val="000000" w:themeColor="text1"/>
          <w:sz w:val="32"/>
          <w:szCs w:val="32"/>
          <w:highlight w:val="none"/>
          <w:lang w:val="en-US" w:eastAsia="zh-CN"/>
        </w:rPr>
      </w:pPr>
      <w:r>
        <w:rPr>
          <w:rFonts w:ascii="Times New Roman" w:hAnsi="Times New Roman" w:eastAsia="仿宋_GB2312" w:cs="Times New Roman"/>
          <w:color w:val="000000" w:themeColor="text1"/>
          <w:sz w:val="32"/>
          <w:szCs w:val="32"/>
          <w:highlight w:val="none"/>
        </w:rPr>
        <w:t>位养老支出（款）机关事业单位职业年金缴费支出（项）</w:t>
      </w:r>
      <w:r>
        <w:rPr>
          <w:rFonts w:hint="eastAsia" w:ascii="Times New Roman" w:hAnsi="Times New Roman" w:eastAsia="仿宋_GB2312" w:cs="Times New Roman"/>
          <w:color w:val="000000" w:themeColor="text1"/>
          <w:sz w:val="32"/>
          <w:szCs w:val="32"/>
          <w:highlight w:val="none"/>
        </w:rPr>
        <w:t>202</w:t>
      </w:r>
      <w:r>
        <w:rPr>
          <w:rFonts w:hint="eastAsia" w:ascii="Times New Roman" w:hAnsi="Times New Roman" w:eastAsia="仿宋_GB2312" w:cs="Times New Roman"/>
          <w:color w:val="000000" w:themeColor="text1"/>
          <w:sz w:val="32"/>
          <w:szCs w:val="32"/>
          <w:highlight w:val="none"/>
          <w:lang w:val="en-US" w:eastAsia="zh-CN"/>
        </w:rPr>
        <w:t>3</w:t>
      </w:r>
      <w:r>
        <w:rPr>
          <w:rFonts w:ascii="Times New Roman" w:hAnsi="Times New Roman" w:eastAsia="仿宋_GB2312" w:cs="Times New Roman"/>
          <w:color w:val="000000" w:themeColor="text1"/>
          <w:sz w:val="32"/>
          <w:szCs w:val="32"/>
          <w:highlight w:val="none"/>
        </w:rPr>
        <w:t>年预算数为</w:t>
      </w:r>
      <w:r>
        <w:rPr>
          <w:rFonts w:hint="eastAsia" w:ascii="Times New Roman" w:hAnsi="Times New Roman" w:eastAsia="仿宋_GB2312" w:cs="Times New Roman"/>
          <w:color w:val="000000" w:themeColor="text1"/>
          <w:sz w:val="32"/>
          <w:szCs w:val="32"/>
          <w:highlight w:val="none"/>
          <w:lang w:val="en-US" w:eastAsia="zh-CN"/>
        </w:rPr>
        <w:t>637.92</w:t>
      </w:r>
      <w:r>
        <w:rPr>
          <w:rFonts w:ascii="Times New Roman" w:hAnsi="Times New Roman" w:eastAsia="仿宋_GB2312" w:cs="Times New Roman"/>
          <w:color w:val="000000" w:themeColor="text1"/>
          <w:sz w:val="32"/>
          <w:szCs w:val="32"/>
          <w:highlight w:val="none"/>
        </w:rPr>
        <w:t>万元，比上年预算数增加</w:t>
      </w:r>
      <w:r>
        <w:rPr>
          <w:rFonts w:hint="eastAsia" w:ascii="Times New Roman" w:hAnsi="Times New Roman" w:eastAsia="仿宋_GB2312" w:cs="Times New Roman"/>
          <w:color w:val="000000" w:themeColor="text1"/>
          <w:sz w:val="32"/>
          <w:szCs w:val="32"/>
          <w:highlight w:val="none"/>
          <w:lang w:val="en-US" w:eastAsia="zh-CN"/>
        </w:rPr>
        <w:t>0.4</w:t>
      </w:r>
      <w:r>
        <w:rPr>
          <w:rFonts w:ascii="Times New Roman" w:hAnsi="Times New Roman" w:eastAsia="仿宋_GB2312" w:cs="Times New Roman"/>
          <w:color w:val="000000" w:themeColor="text1"/>
          <w:sz w:val="32"/>
          <w:szCs w:val="32"/>
          <w:highlight w:val="none"/>
        </w:rPr>
        <w:t>万元，</w:t>
      </w:r>
      <w:r>
        <w:rPr>
          <w:rFonts w:hint="eastAsia" w:ascii="Times New Roman" w:hAnsi="Times New Roman" w:eastAsia="仿宋_GB2312" w:cs="Times New Roman"/>
          <w:color w:val="000000" w:themeColor="text1"/>
          <w:sz w:val="32"/>
          <w:szCs w:val="32"/>
          <w:highlight w:val="none"/>
          <w:lang w:val="en-US" w:eastAsia="zh-CN"/>
        </w:rPr>
        <w:t>主要是</w:t>
      </w:r>
      <w:r>
        <w:rPr>
          <w:rFonts w:hint="eastAsia" w:ascii="Times New Roman" w:hAnsi="Times New Roman" w:eastAsia="仿宋_GB2312" w:cs="Times New Roman"/>
          <w:color w:val="000000" w:themeColor="text1"/>
          <w:sz w:val="32"/>
          <w:szCs w:val="32"/>
          <w:highlight w:val="none"/>
        </w:rPr>
        <w:t>社会保障和就业支出</w:t>
      </w:r>
      <w:r>
        <w:rPr>
          <w:rFonts w:hint="eastAsia" w:ascii="Times New Roman" w:hAnsi="Times New Roman" w:eastAsia="仿宋_GB2312" w:cs="Times New Roman"/>
          <w:color w:val="000000" w:themeColor="text1"/>
          <w:sz w:val="32"/>
          <w:szCs w:val="32"/>
          <w:highlight w:val="none"/>
          <w:lang w:val="en-US" w:eastAsia="zh-CN"/>
        </w:rPr>
        <w:t>增加了0.4万元。</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2、</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公立医院（</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综合医院</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2023年预算数为79.51万元，与上年度比较，增加了71.9万元，主要是2022年年末项目结转。</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3、</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公立医院（</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中医（民族）医院</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2023年预算数为300万元，与上年度比较，减少了5280.01万元，主要是不包含2023年年初预算设备（装备）购置与运行维护项目。</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4、</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公共卫生（</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基本公共卫生服务</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2023年预算数为0.55万元，与上年度比较，减少了0.55万元，主要是2022年年末项目结转。</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5、</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公共卫生（</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重大公共卫生服务</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2023年预算数为0.52万元，与上年度比较，减少了9.41万元，主要是2022年年末项目结转。</w:t>
      </w:r>
    </w:p>
    <w:p>
      <w:pPr>
        <w:ind w:firstLine="640" w:firstLineChars="200"/>
        <w:jc w:val="both"/>
        <w:rPr>
          <w:rFonts w:hint="default"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6、</w:t>
      </w:r>
      <w:r>
        <w:rPr>
          <w:rFonts w:hint="eastAsia" w:ascii="Times New Roman" w:hAnsi="Times New Roman" w:eastAsia="仿宋_GB2312" w:cs="Times New Roman"/>
          <w:color w:val="000000" w:themeColor="text1"/>
          <w:sz w:val="32"/>
          <w:szCs w:val="32"/>
          <w:highlight w:val="none"/>
        </w:rPr>
        <w:t>一般公共预算卫生健康支出（类）</w:t>
      </w:r>
      <w:r>
        <w:rPr>
          <w:rFonts w:hint="eastAsia" w:ascii="Times New Roman" w:hAnsi="Times New Roman" w:eastAsia="仿宋_GB2312" w:cs="Times New Roman"/>
          <w:color w:val="000000" w:themeColor="text1"/>
          <w:sz w:val="32"/>
          <w:szCs w:val="32"/>
          <w:highlight w:val="none"/>
          <w:lang w:eastAsia="zh-CN"/>
        </w:rPr>
        <w:t>公共卫生（</w:t>
      </w:r>
      <w:r>
        <w:rPr>
          <w:rFonts w:hint="eastAsia" w:ascii="Times New Roman" w:hAnsi="Times New Roman" w:eastAsia="仿宋_GB2312" w:cs="Times New Roman"/>
          <w:color w:val="000000" w:themeColor="text1"/>
          <w:sz w:val="32"/>
          <w:szCs w:val="32"/>
          <w:highlight w:val="none"/>
          <w:lang w:val="en-US" w:eastAsia="zh-CN"/>
        </w:rPr>
        <w:t>款</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其他公共卫生支出</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项</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2023年预算数为110.8万元，与上年度比较，增加了110.8万元，主要是2022年年末项目结转。</w:t>
      </w:r>
    </w:p>
    <w:p>
      <w:pPr>
        <w:ind w:firstLine="640" w:firstLineChars="200"/>
        <w:jc w:val="both"/>
        <w:rPr>
          <w:rFonts w:hint="default"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7、一般公共预算卫生健康支出（类）中医药（款）中医(民族医)药专项（项）2023年预算数为5489.88元，与上年度比较，增加了2647.77万元，主要包含了设备（装备）购置与运行维护项目2900万元，卫生健康发展专项资金2400万元及2022年年末项目结转。</w:t>
      </w:r>
    </w:p>
    <w:p>
      <w:pPr>
        <w:ind w:firstLine="640" w:firstLineChars="200"/>
        <w:jc w:val="both"/>
        <w:rPr>
          <w:rFonts w:hint="eastAsia"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8、一般公共预算卫生健康支出（类）医疗保障管理事务（款）医疗保障政策管理（项）2023年预算数为9元，与上年度比较，增加了9万元，主要是2022年年末项目结转。</w:t>
      </w:r>
    </w:p>
    <w:p>
      <w:pPr>
        <w:ind w:firstLine="640" w:firstLineChars="200"/>
        <w:jc w:val="both"/>
        <w:rPr>
          <w:rFonts w:hint="default" w:ascii="Times New Roman" w:hAnsi="Times New Roman" w:eastAsia="仿宋_GB2312" w:cs="Times New Roman"/>
          <w:color w:val="000000" w:themeColor="text1"/>
          <w:sz w:val="32"/>
          <w:szCs w:val="32"/>
          <w:highlight w:val="none"/>
          <w:lang w:val="en-US" w:eastAsia="zh-CN"/>
        </w:rPr>
      </w:pPr>
      <w:r>
        <w:rPr>
          <w:rFonts w:hint="eastAsia" w:ascii="Times New Roman" w:hAnsi="Times New Roman" w:eastAsia="仿宋_GB2312" w:cs="Times New Roman"/>
          <w:color w:val="000000" w:themeColor="text1"/>
          <w:sz w:val="32"/>
          <w:szCs w:val="32"/>
          <w:highlight w:val="none"/>
          <w:lang w:val="en-US" w:eastAsia="zh-CN"/>
        </w:rPr>
        <w:t>9、一般公共预算卫生健康支出（类）其他卫生健康支出（款）其他卫生健康支出（项）2023年预算数为79.87元，与上年度比较，减少了404.07万元，主要是2022年年末项目结转。</w:t>
      </w:r>
    </w:p>
    <w:p>
      <w:pPr>
        <w:ind w:firstLine="640"/>
        <w:jc w:val="both"/>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三、</w:t>
      </w:r>
      <w:r>
        <w:rPr>
          <w:rFonts w:ascii="Times New Roman" w:hAnsi="Times New Roman" w:eastAsia="黑体" w:cs="Times New Roman"/>
          <w:sz w:val="32"/>
          <w:szCs w:val="32"/>
          <w:highlight w:val="none"/>
        </w:rPr>
        <w:t>关于</w:t>
      </w:r>
      <w:r>
        <w:rPr>
          <w:rFonts w:hint="eastAsia" w:ascii="Times New Roman" w:hAnsi="Times New Roman" w:eastAsia="黑体" w:cs="Times New Roman"/>
          <w:sz w:val="32"/>
          <w:szCs w:val="32"/>
          <w:highlight w:val="none"/>
        </w:rPr>
        <w:t>三亚市中医院202</w:t>
      </w:r>
      <w:r>
        <w:rPr>
          <w:rFonts w:hint="eastAsia" w:ascii="Times New Roman" w:hAnsi="Times New Roman" w:eastAsia="黑体" w:cs="Times New Roman"/>
          <w:sz w:val="32"/>
          <w:szCs w:val="32"/>
          <w:highlight w:val="none"/>
          <w:lang w:val="en-US" w:eastAsia="zh-CN"/>
        </w:rPr>
        <w:t>3</w:t>
      </w:r>
      <w:r>
        <w:rPr>
          <w:rFonts w:ascii="Times New Roman" w:hAnsi="Times New Roman" w:eastAsia="黑体" w:cs="Times New Roman"/>
          <w:sz w:val="32"/>
          <w:szCs w:val="32"/>
          <w:highlight w:val="none"/>
        </w:rPr>
        <w:t>年一般公共预算基本支出情况说明</w:t>
      </w:r>
    </w:p>
    <w:p>
      <w:pPr>
        <w:pStyle w:val="7"/>
        <w:spacing w:line="500" w:lineRule="exact"/>
        <w:ind w:firstLine="64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年一般公共预算基本支出为</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，因三亚市中医院为差额拨款单位。</w:t>
      </w:r>
    </w:p>
    <w:p>
      <w:pPr>
        <w:pStyle w:val="7"/>
        <w:numPr>
          <w:ilvl w:val="0"/>
          <w:numId w:val="6"/>
        </w:numPr>
        <w:spacing w:line="500" w:lineRule="exact"/>
        <w:ind w:firstLine="640"/>
        <w:jc w:val="both"/>
        <w:rPr>
          <w:rFonts w:ascii="Times New Roman" w:hAnsi="Times New Roman" w:eastAsia="黑体" w:cs="Times New Roman"/>
          <w:sz w:val="32"/>
          <w:highlight w:val="none"/>
          <w:shd w:val="clear" w:color="auto" w:fill="FFFFFF"/>
        </w:rPr>
      </w:pPr>
      <w:r>
        <w:rPr>
          <w:rFonts w:hint="eastAsia" w:ascii="Times New Roman" w:hAnsi="Times New Roman" w:eastAsia="黑体" w:cs="Times New Roman"/>
          <w:sz w:val="32"/>
          <w:highlight w:val="none"/>
          <w:shd w:val="clear" w:color="auto" w:fill="FFFFFF"/>
        </w:rPr>
        <w:t>三亚市中医院202</w:t>
      </w:r>
      <w:r>
        <w:rPr>
          <w:rFonts w:hint="eastAsia" w:ascii="Times New Roman" w:hAnsi="Times New Roman" w:eastAsia="黑体" w:cs="Times New Roman"/>
          <w:sz w:val="32"/>
          <w:highlight w:val="none"/>
          <w:shd w:val="clear" w:color="auto" w:fill="FFFFFF"/>
          <w:lang w:val="en-US" w:eastAsia="zh-CN"/>
        </w:rPr>
        <w:t>3</w:t>
      </w:r>
      <w:r>
        <w:rPr>
          <w:rFonts w:ascii="Times New Roman" w:hAnsi="Times New Roman" w:eastAsia="黑体" w:cs="Times New Roman"/>
          <w:sz w:val="32"/>
          <w:highlight w:val="none"/>
          <w:shd w:val="clear" w:color="auto" w:fill="FFFFFF"/>
        </w:rPr>
        <w:t>年“三公”经费预算情况说明</w:t>
      </w:r>
    </w:p>
    <w:p>
      <w:pPr>
        <w:pStyle w:val="7"/>
        <w:spacing w:line="500" w:lineRule="exact"/>
        <w:ind w:firstLine="64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年一般公共预算“三公”经费预算数为</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ind w:firstLine="640" w:firstLineChars="200"/>
        <w:jc w:val="both"/>
        <w:rPr>
          <w:rFonts w:ascii="Times New Roman" w:hAnsi="Times New Roman" w:eastAsia="黑体" w:cs="Times New Roman"/>
          <w:sz w:val="32"/>
          <w:highlight w:val="none"/>
          <w:shd w:val="clear" w:color="auto" w:fill="FFFFFF"/>
        </w:rPr>
      </w:pPr>
      <w:r>
        <w:rPr>
          <w:rFonts w:ascii="Times New Roman" w:hAnsi="Times New Roman" w:eastAsia="黑体" w:cs="Times New Roman"/>
          <w:sz w:val="32"/>
          <w:highlight w:val="none"/>
          <w:shd w:val="clear" w:color="auto" w:fill="FFFFFF"/>
        </w:rPr>
        <w:t>五、关于</w:t>
      </w:r>
      <w:r>
        <w:rPr>
          <w:rFonts w:hint="eastAsia" w:ascii="Times New Roman" w:hAnsi="Times New Roman" w:eastAsia="黑体" w:cs="Times New Roman"/>
          <w:sz w:val="32"/>
          <w:highlight w:val="none"/>
          <w:shd w:val="clear" w:color="auto" w:fill="FFFFFF"/>
        </w:rPr>
        <w:t>三亚市中医院202</w:t>
      </w:r>
      <w:r>
        <w:rPr>
          <w:rFonts w:hint="eastAsia" w:ascii="Times New Roman" w:hAnsi="Times New Roman" w:eastAsia="黑体" w:cs="Times New Roman"/>
          <w:sz w:val="32"/>
          <w:highlight w:val="none"/>
          <w:shd w:val="clear" w:color="auto" w:fill="FFFFFF"/>
          <w:lang w:val="en-US" w:eastAsia="zh-CN"/>
        </w:rPr>
        <w:t>3</w:t>
      </w:r>
      <w:r>
        <w:rPr>
          <w:rFonts w:ascii="Times New Roman" w:hAnsi="Times New Roman" w:eastAsia="黑体" w:cs="Times New Roman"/>
          <w:sz w:val="32"/>
          <w:highlight w:val="none"/>
          <w:shd w:val="clear" w:color="auto" w:fill="FFFFFF"/>
        </w:rPr>
        <w:t>年政府性基金预算当年拨款情况说明</w:t>
      </w:r>
    </w:p>
    <w:p>
      <w:pPr>
        <w:ind w:firstLine="640"/>
        <w:jc w:val="both"/>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（一）政府性基金预算当年规模变化情况</w:t>
      </w:r>
    </w:p>
    <w:p>
      <w:pPr>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年政府性基金预算当年拨款</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ind w:firstLine="640"/>
        <w:jc w:val="both"/>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（二）政府性基金预算当年拨款结构情况</w:t>
      </w:r>
    </w:p>
    <w:p>
      <w:pPr>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年政府性基金预算当年拨款</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ind w:firstLine="640"/>
        <w:jc w:val="both"/>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（三）政府性基金预算当年拨款具体使用情况</w:t>
      </w:r>
    </w:p>
    <w:p>
      <w:pPr>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年政府性基金预算当年拨款</w:t>
      </w:r>
      <w:r>
        <w:rPr>
          <w:rFonts w:hint="eastAsia"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p>
    <w:p>
      <w:pPr>
        <w:pStyle w:val="7"/>
        <w:spacing w:line="500" w:lineRule="exact"/>
        <w:ind w:firstLine="600"/>
        <w:jc w:val="both"/>
        <w:rPr>
          <w:rFonts w:ascii="微软雅黑" w:hAnsi="微软雅黑" w:eastAsia="微软雅黑" w:cs="微软雅黑"/>
          <w:color w:val="333333"/>
          <w:kern w:val="0"/>
          <w:sz w:val="30"/>
          <w:szCs w:val="30"/>
          <w:highlight w:val="none"/>
          <w:shd w:val="clear" w:color="auto" w:fill="FFFFFF"/>
        </w:rPr>
      </w:pPr>
      <w:r>
        <w:rPr>
          <w:rFonts w:hint="eastAsia" w:ascii="微软雅黑" w:hAnsi="微软雅黑" w:eastAsia="微软雅黑" w:cs="微软雅黑"/>
          <w:color w:val="333333"/>
          <w:kern w:val="0"/>
          <w:sz w:val="30"/>
          <w:szCs w:val="30"/>
          <w:highlight w:val="none"/>
          <w:shd w:val="clear" w:color="auto" w:fill="FFFFFF"/>
        </w:rPr>
        <w:t>六、</w:t>
      </w:r>
      <w:r>
        <w:rPr>
          <w:rFonts w:hint="eastAsia" w:ascii="Times New Roman" w:hAnsi="Times New Roman" w:eastAsia="黑体" w:cs="Times New Roman"/>
          <w:sz w:val="32"/>
          <w:szCs w:val="22"/>
          <w:highlight w:val="none"/>
          <w:shd w:val="clear" w:color="auto" w:fill="FFFFFF"/>
        </w:rPr>
        <w:t>关于三亚市中医院202</w:t>
      </w:r>
      <w:r>
        <w:rPr>
          <w:rFonts w:hint="eastAsia" w:ascii="Times New Roman" w:hAnsi="Times New Roman" w:eastAsia="黑体" w:cs="Times New Roman"/>
          <w:sz w:val="32"/>
          <w:szCs w:val="22"/>
          <w:highlight w:val="none"/>
          <w:shd w:val="clear" w:color="auto" w:fill="FFFFFF"/>
          <w:lang w:val="en-US" w:eastAsia="zh-CN"/>
        </w:rPr>
        <w:t>3</w:t>
      </w:r>
      <w:r>
        <w:rPr>
          <w:rFonts w:hint="eastAsia" w:ascii="Times New Roman" w:hAnsi="Times New Roman" w:eastAsia="黑体" w:cs="Times New Roman"/>
          <w:sz w:val="32"/>
          <w:szCs w:val="22"/>
          <w:highlight w:val="none"/>
          <w:shd w:val="clear" w:color="auto" w:fill="FFFFFF"/>
        </w:rPr>
        <w:t>年收支预算情况的总体说明</w:t>
      </w:r>
    </w:p>
    <w:p>
      <w:pPr>
        <w:pStyle w:val="7"/>
        <w:spacing w:line="500" w:lineRule="exact"/>
        <w:ind w:firstLine="640"/>
        <w:jc w:val="both"/>
        <w:rPr>
          <w:rFonts w:ascii="微软雅黑" w:hAnsi="微软雅黑" w:eastAsia="微软雅黑" w:cs="微软雅黑"/>
          <w:color w:val="333333"/>
          <w:kern w:val="0"/>
          <w:sz w:val="30"/>
          <w:szCs w:val="30"/>
          <w:highlight w:val="none"/>
          <w:shd w:val="clear" w:color="auto" w:fill="FFFFFF"/>
        </w:rPr>
      </w:pPr>
      <w:r>
        <w:rPr>
          <w:rFonts w:hint="eastAsia" w:ascii="Times New Roman" w:hAnsi="Times New Roman" w:eastAsia="仿宋_GB2312" w:cs="Times New Roman"/>
          <w:sz w:val="32"/>
          <w:szCs w:val="32"/>
          <w:highlight w:val="none"/>
        </w:rPr>
        <w:t>按照综合预算原则，三亚市中医院所有收入和支出均纳入部门预算管理。收入包括：一般公共预算收入、政府性基金收入、其他财政资金收入、事业收入、其他收入；支出包括：一般公共预算支出、政府性基金支出、其他财政资金支出、事业支出、其他支出。三亚市中医院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年收支总预算</w:t>
      </w:r>
      <w:r>
        <w:rPr>
          <w:rFonts w:hint="eastAsia" w:ascii="Times New Roman" w:hAnsi="Times New Roman" w:eastAsia="仿宋_GB2312" w:cs="Times New Roman"/>
          <w:sz w:val="32"/>
          <w:szCs w:val="32"/>
          <w:highlight w:val="none"/>
          <w:lang w:val="en-US" w:eastAsia="zh-CN"/>
        </w:rPr>
        <w:t>31399.35</w:t>
      </w:r>
      <w:r>
        <w:rPr>
          <w:rFonts w:hint="eastAsia" w:ascii="Times New Roman" w:hAnsi="Times New Roman" w:eastAsia="仿宋_GB2312" w:cs="Times New Roman"/>
          <w:sz w:val="32"/>
          <w:szCs w:val="32"/>
          <w:highlight w:val="none"/>
        </w:rPr>
        <w:t>万元。</w:t>
      </w:r>
    </w:p>
    <w:p>
      <w:pPr>
        <w:pStyle w:val="7"/>
        <w:spacing w:line="500" w:lineRule="exact"/>
        <w:ind w:firstLine="600"/>
        <w:jc w:val="left"/>
        <w:rPr>
          <w:rFonts w:ascii="微软雅黑" w:hAnsi="微软雅黑" w:eastAsia="微软雅黑" w:cs="微软雅黑"/>
          <w:color w:val="333333"/>
          <w:kern w:val="0"/>
          <w:sz w:val="30"/>
          <w:szCs w:val="30"/>
          <w:highlight w:val="none"/>
          <w:shd w:val="clear" w:color="auto" w:fill="FFFFFF"/>
        </w:rPr>
      </w:pPr>
      <w:r>
        <w:rPr>
          <w:rFonts w:hint="eastAsia" w:ascii="微软雅黑" w:hAnsi="微软雅黑" w:eastAsia="微软雅黑" w:cs="微软雅黑"/>
          <w:color w:val="333333"/>
          <w:kern w:val="0"/>
          <w:sz w:val="30"/>
          <w:szCs w:val="30"/>
          <w:highlight w:val="none"/>
          <w:shd w:val="clear" w:color="auto" w:fill="FFFFFF"/>
        </w:rPr>
        <w:t>七、</w:t>
      </w:r>
      <w:r>
        <w:rPr>
          <w:rFonts w:hint="eastAsia" w:ascii="Times New Roman" w:hAnsi="Times New Roman" w:eastAsia="黑体" w:cs="Times New Roman"/>
          <w:sz w:val="32"/>
          <w:szCs w:val="22"/>
          <w:highlight w:val="none"/>
          <w:shd w:val="clear" w:color="auto" w:fill="FFFFFF"/>
        </w:rPr>
        <w:t>关于三亚市中医院202</w:t>
      </w:r>
      <w:r>
        <w:rPr>
          <w:rFonts w:hint="eastAsia" w:ascii="Times New Roman" w:hAnsi="Times New Roman" w:eastAsia="黑体" w:cs="Times New Roman"/>
          <w:sz w:val="32"/>
          <w:szCs w:val="22"/>
          <w:highlight w:val="none"/>
          <w:shd w:val="clear" w:color="auto" w:fill="FFFFFF"/>
          <w:lang w:val="en-US" w:eastAsia="zh-CN"/>
        </w:rPr>
        <w:t>3</w:t>
      </w:r>
      <w:r>
        <w:rPr>
          <w:rFonts w:hint="eastAsia" w:ascii="Times New Roman" w:hAnsi="Times New Roman" w:eastAsia="黑体" w:cs="Times New Roman"/>
          <w:sz w:val="32"/>
          <w:szCs w:val="22"/>
          <w:highlight w:val="none"/>
          <w:shd w:val="clear" w:color="auto" w:fill="FFFFFF"/>
        </w:rPr>
        <w:t>年收入预算情况说明</w:t>
      </w:r>
    </w:p>
    <w:p>
      <w:pPr>
        <w:pStyle w:val="7"/>
        <w:spacing w:line="500" w:lineRule="exact"/>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年收入预算</w:t>
      </w:r>
      <w:r>
        <w:rPr>
          <w:rFonts w:hint="eastAsia" w:ascii="Times New Roman" w:hAnsi="Times New Roman" w:eastAsia="仿宋_GB2312" w:cs="Times New Roman"/>
          <w:sz w:val="32"/>
          <w:szCs w:val="32"/>
          <w:highlight w:val="none"/>
          <w:lang w:val="en-US" w:eastAsia="zh-CN"/>
        </w:rPr>
        <w:t>31399.35</w:t>
      </w:r>
      <w:r>
        <w:rPr>
          <w:rFonts w:hint="eastAsia" w:ascii="Times New Roman" w:hAnsi="Times New Roman" w:eastAsia="仿宋_GB2312" w:cs="Times New Roman"/>
          <w:sz w:val="32"/>
          <w:szCs w:val="32"/>
          <w:highlight w:val="none"/>
        </w:rPr>
        <w:t>万元，其中上年结转结余</w:t>
      </w:r>
      <w:r>
        <w:rPr>
          <w:rFonts w:hint="eastAsia" w:ascii="Times New Roman" w:hAnsi="Times New Roman" w:eastAsia="仿宋_GB2312" w:cs="Times New Roman"/>
          <w:sz w:val="32"/>
          <w:szCs w:val="32"/>
          <w:highlight w:val="none"/>
          <w:lang w:val="en-US" w:eastAsia="zh-CN"/>
        </w:rPr>
        <w:t>489.18</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1.56</w:t>
      </w:r>
      <w:r>
        <w:rPr>
          <w:rFonts w:hint="eastAsia" w:ascii="Times New Roman" w:hAnsi="Times New Roman" w:eastAsia="仿宋_GB2312" w:cs="Times New Roman"/>
          <w:sz w:val="32"/>
          <w:szCs w:val="32"/>
          <w:highlight w:val="none"/>
        </w:rPr>
        <w:t>%；财政补助收入</w:t>
      </w:r>
      <w:r>
        <w:rPr>
          <w:rFonts w:hint="eastAsia" w:ascii="Times New Roman" w:hAnsi="Times New Roman" w:eastAsia="仿宋_GB2312" w:cs="Times New Roman"/>
          <w:sz w:val="32"/>
          <w:szCs w:val="32"/>
          <w:highlight w:val="none"/>
          <w:lang w:val="en-US" w:eastAsia="zh-CN"/>
        </w:rPr>
        <w:t>6237.92</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19.87</w:t>
      </w:r>
      <w:r>
        <w:rPr>
          <w:rFonts w:hint="eastAsia" w:ascii="Times New Roman" w:hAnsi="Times New Roman" w:eastAsia="仿宋_GB2312" w:cs="Times New Roman"/>
          <w:sz w:val="32"/>
          <w:szCs w:val="32"/>
          <w:highlight w:val="none"/>
        </w:rPr>
        <w:t>%;事业收入</w:t>
      </w:r>
      <w:r>
        <w:rPr>
          <w:rFonts w:hint="eastAsia" w:ascii="Times New Roman" w:hAnsi="Times New Roman" w:eastAsia="仿宋_GB2312" w:cs="Times New Roman"/>
          <w:sz w:val="32"/>
          <w:szCs w:val="32"/>
          <w:highlight w:val="none"/>
          <w:lang w:val="en-US" w:eastAsia="zh-CN"/>
        </w:rPr>
        <w:t>24672.25</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78.57</w:t>
      </w:r>
      <w:r>
        <w:rPr>
          <w:rFonts w:hint="eastAsia" w:ascii="Times New Roman" w:hAnsi="Times New Roman" w:eastAsia="仿宋_GB2312" w:cs="Times New Roman"/>
          <w:sz w:val="32"/>
          <w:szCs w:val="32"/>
          <w:highlight w:val="none"/>
        </w:rPr>
        <w:t>%。比上年预算数</w:t>
      </w:r>
      <w:r>
        <w:rPr>
          <w:rFonts w:hint="eastAsia" w:ascii="Times New Roman" w:hAnsi="Times New Roman" w:eastAsia="仿宋_GB2312" w:cs="Times New Roman"/>
          <w:sz w:val="32"/>
          <w:szCs w:val="32"/>
          <w:highlight w:val="none"/>
          <w:lang w:val="en-US" w:eastAsia="zh-CN"/>
        </w:rPr>
        <w:t>减少12372.84</w:t>
      </w:r>
      <w:r>
        <w:rPr>
          <w:rFonts w:hint="eastAsia" w:ascii="Times New Roman" w:hAnsi="Times New Roman" w:eastAsia="仿宋_GB2312" w:cs="Times New Roman"/>
          <w:sz w:val="32"/>
          <w:szCs w:val="32"/>
          <w:highlight w:val="none"/>
        </w:rPr>
        <w:t>万元。主要是</w:t>
      </w:r>
      <w:r>
        <w:rPr>
          <w:rFonts w:hint="eastAsia" w:ascii="Times New Roman" w:hAnsi="Times New Roman" w:eastAsia="仿宋_GB2312" w:cs="Times New Roman"/>
          <w:sz w:val="32"/>
          <w:szCs w:val="32"/>
          <w:highlight w:val="none"/>
          <w:lang w:val="en-US" w:eastAsia="zh-CN"/>
        </w:rPr>
        <w:t>年初结转减少了13589.77万元，</w:t>
      </w:r>
      <w:r>
        <w:rPr>
          <w:rFonts w:hint="eastAsia" w:ascii="Times New Roman" w:hAnsi="Times New Roman" w:eastAsia="仿宋_GB2312" w:cs="Times New Roman"/>
          <w:sz w:val="32"/>
          <w:szCs w:val="32"/>
          <w:highlight w:val="none"/>
        </w:rPr>
        <w:t>事业收入</w:t>
      </w:r>
      <w:r>
        <w:rPr>
          <w:rFonts w:hint="eastAsia" w:ascii="Times New Roman" w:hAnsi="Times New Roman" w:eastAsia="仿宋_GB2312" w:cs="Times New Roman"/>
          <w:sz w:val="32"/>
          <w:szCs w:val="32"/>
          <w:highlight w:val="none"/>
          <w:lang w:val="en-US" w:eastAsia="zh-CN"/>
        </w:rPr>
        <w:t>减少了47.61</w:t>
      </w:r>
      <w:r>
        <w:rPr>
          <w:rFonts w:hint="eastAsia" w:ascii="Times New Roman" w:hAnsi="Times New Roman" w:eastAsia="仿宋_GB2312" w:cs="Times New Roman"/>
          <w:sz w:val="32"/>
          <w:szCs w:val="32"/>
          <w:highlight w:val="none"/>
        </w:rPr>
        <w:t>万元，财政补助收入</w:t>
      </w:r>
      <w:r>
        <w:rPr>
          <w:rFonts w:hint="eastAsia" w:ascii="Times New Roman" w:hAnsi="Times New Roman" w:eastAsia="仿宋_GB2312" w:cs="Times New Roman"/>
          <w:sz w:val="32"/>
          <w:szCs w:val="32"/>
          <w:highlight w:val="none"/>
          <w:lang w:val="en-US" w:eastAsia="zh-CN"/>
        </w:rPr>
        <w:t>增加</w:t>
      </w:r>
      <w:r>
        <w:rPr>
          <w:rFonts w:hint="eastAsia" w:ascii="Times New Roman" w:hAnsi="Times New Roman" w:eastAsia="仿宋_GB2312" w:cs="Times New Roman"/>
          <w:sz w:val="32"/>
          <w:szCs w:val="32"/>
          <w:highlight w:val="none"/>
        </w:rPr>
        <w:t>了</w:t>
      </w:r>
      <w:r>
        <w:rPr>
          <w:rFonts w:hint="eastAsia" w:ascii="Times New Roman" w:hAnsi="Times New Roman" w:eastAsia="仿宋_GB2312" w:cs="Times New Roman"/>
          <w:sz w:val="32"/>
          <w:szCs w:val="32"/>
          <w:highlight w:val="none"/>
          <w:lang w:val="en-US" w:eastAsia="zh-CN"/>
        </w:rPr>
        <w:t>1500.04</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val="en-US" w:eastAsia="zh-CN"/>
        </w:rPr>
        <w:t>其他收入减少了235.5万元</w:t>
      </w:r>
      <w:r>
        <w:rPr>
          <w:rFonts w:hint="eastAsia" w:ascii="Times New Roman" w:hAnsi="Times New Roman" w:eastAsia="仿宋_GB2312" w:cs="Times New Roman"/>
          <w:sz w:val="32"/>
          <w:szCs w:val="32"/>
          <w:highlight w:val="none"/>
        </w:rPr>
        <w:t>。</w:t>
      </w:r>
    </w:p>
    <w:p>
      <w:pPr>
        <w:ind w:firstLine="640" w:firstLineChars="200"/>
        <w:rPr>
          <w:rFonts w:ascii="Times New Roman" w:hAnsi="Times New Roman" w:eastAsia="黑体" w:cs="Times New Roman"/>
          <w:sz w:val="32"/>
          <w:highlight w:val="none"/>
          <w:shd w:val="clear" w:color="auto" w:fill="FFFFFF"/>
        </w:rPr>
      </w:pPr>
      <w:r>
        <w:rPr>
          <w:rFonts w:hint="eastAsia" w:ascii="Times New Roman" w:hAnsi="Times New Roman" w:eastAsia="黑体" w:cs="Times New Roman"/>
          <w:sz w:val="32"/>
          <w:szCs w:val="22"/>
          <w:highlight w:val="none"/>
          <w:shd w:val="clear" w:color="auto" w:fill="FFFFFF"/>
        </w:rPr>
        <w:t>八、</w:t>
      </w:r>
      <w:r>
        <w:rPr>
          <w:rFonts w:ascii="Times New Roman" w:hAnsi="Times New Roman" w:eastAsia="黑体" w:cs="Times New Roman"/>
          <w:sz w:val="32"/>
          <w:highlight w:val="none"/>
          <w:shd w:val="clear" w:color="auto" w:fill="FFFFFF"/>
        </w:rPr>
        <w:t>关于</w:t>
      </w:r>
      <w:r>
        <w:rPr>
          <w:rFonts w:hint="eastAsia" w:ascii="Times New Roman" w:hAnsi="Times New Roman" w:eastAsia="黑体" w:cs="Times New Roman"/>
          <w:sz w:val="32"/>
          <w:highlight w:val="none"/>
          <w:shd w:val="clear" w:color="auto" w:fill="FFFFFF"/>
        </w:rPr>
        <w:t>三亚市中医院202</w:t>
      </w:r>
      <w:r>
        <w:rPr>
          <w:rFonts w:hint="eastAsia" w:ascii="Times New Roman" w:hAnsi="Times New Roman" w:eastAsia="黑体" w:cs="Times New Roman"/>
          <w:sz w:val="32"/>
          <w:highlight w:val="none"/>
          <w:shd w:val="clear" w:color="auto" w:fill="FFFFFF"/>
          <w:lang w:val="en-US" w:eastAsia="zh-CN"/>
        </w:rPr>
        <w:t>3</w:t>
      </w:r>
      <w:r>
        <w:rPr>
          <w:rFonts w:ascii="Times New Roman" w:hAnsi="Times New Roman" w:eastAsia="黑体" w:cs="Times New Roman"/>
          <w:sz w:val="32"/>
          <w:highlight w:val="none"/>
          <w:shd w:val="clear" w:color="auto" w:fill="FFFFFF"/>
        </w:rPr>
        <w:t>年支出预算情况说明</w:t>
      </w:r>
    </w:p>
    <w:p>
      <w:pP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三亚市中医院202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年支出预算</w:t>
      </w:r>
      <w:r>
        <w:rPr>
          <w:rFonts w:hint="eastAsia" w:ascii="Times New Roman" w:hAnsi="Times New Roman" w:eastAsia="仿宋_GB2312" w:cs="Times New Roman"/>
          <w:sz w:val="32"/>
          <w:szCs w:val="32"/>
          <w:highlight w:val="none"/>
          <w:lang w:val="en-US" w:eastAsia="zh-CN"/>
        </w:rPr>
        <w:t>30338.94</w:t>
      </w:r>
      <w:r>
        <w:rPr>
          <w:rFonts w:ascii="Times New Roman" w:hAnsi="Times New Roman" w:eastAsia="仿宋_GB2312" w:cs="Times New Roman"/>
          <w:sz w:val="32"/>
          <w:szCs w:val="32"/>
          <w:highlight w:val="none"/>
        </w:rPr>
        <w:t>万元，其中：基本支出</w:t>
      </w:r>
      <w:r>
        <w:rPr>
          <w:rFonts w:hint="eastAsia" w:ascii="Times New Roman" w:hAnsi="Times New Roman" w:eastAsia="仿宋_GB2312" w:cs="Times New Roman"/>
          <w:sz w:val="32"/>
          <w:szCs w:val="32"/>
          <w:highlight w:val="none"/>
          <w:lang w:val="en-US" w:eastAsia="zh-CN"/>
        </w:rPr>
        <w:t>23611.84</w:t>
      </w:r>
      <w:r>
        <w:rPr>
          <w:rFonts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77.83</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比上年预算数</w:t>
      </w:r>
      <w:r>
        <w:rPr>
          <w:rFonts w:hint="eastAsia" w:ascii="Times New Roman" w:hAnsi="Times New Roman" w:eastAsia="仿宋_GB2312" w:cs="Times New Roman"/>
          <w:sz w:val="32"/>
          <w:szCs w:val="32"/>
          <w:highlight w:val="none"/>
          <w:lang w:val="en-US" w:eastAsia="zh-CN"/>
        </w:rPr>
        <w:t>减少了8135.76</w:t>
      </w:r>
      <w:r>
        <w:rPr>
          <w:rFonts w:ascii="Times New Roman" w:hAnsi="Times New Roman" w:eastAsia="仿宋_GB2312" w:cs="Times New Roman"/>
          <w:sz w:val="32"/>
          <w:szCs w:val="32"/>
          <w:highlight w:val="none"/>
        </w:rPr>
        <w:t>万元，主要是</w:t>
      </w:r>
      <w:r>
        <w:rPr>
          <w:rFonts w:hint="eastAsia" w:ascii="Times New Roman" w:hAnsi="Times New Roman" w:eastAsia="仿宋_GB2312" w:cs="Times New Roman"/>
          <w:sz w:val="32"/>
          <w:szCs w:val="32"/>
          <w:highlight w:val="none"/>
        </w:rPr>
        <w:t>基本支出比上年预算</w:t>
      </w:r>
      <w:r>
        <w:rPr>
          <w:rFonts w:hint="eastAsia" w:ascii="Times New Roman" w:hAnsi="Times New Roman" w:eastAsia="仿宋_GB2312" w:cs="Times New Roman"/>
          <w:sz w:val="32"/>
          <w:szCs w:val="32"/>
          <w:highlight w:val="none"/>
          <w:lang w:val="en-US" w:eastAsia="zh-CN"/>
        </w:rPr>
        <w:t>减少8135.76</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val="en-US" w:eastAsia="zh-CN"/>
        </w:rPr>
        <w:t>6727.10</w:t>
      </w:r>
      <w:r>
        <w:rPr>
          <w:rFonts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22.17</w:t>
      </w:r>
      <w:r>
        <w:rPr>
          <w:rFonts w:ascii="Times New Roman" w:hAnsi="Times New Roman" w:eastAsia="仿宋_GB2312" w:cs="Times New Roman"/>
          <w:sz w:val="32"/>
          <w:szCs w:val="32"/>
          <w:highlight w:val="none"/>
        </w:rPr>
        <w:t>%。比上年预算数</w:t>
      </w:r>
      <w:r>
        <w:rPr>
          <w:rFonts w:hint="eastAsia" w:ascii="Times New Roman" w:hAnsi="Times New Roman" w:eastAsia="仿宋_GB2312" w:cs="Times New Roman"/>
          <w:sz w:val="32"/>
          <w:szCs w:val="32"/>
          <w:highlight w:val="none"/>
          <w:lang w:val="en-US" w:eastAsia="zh-CN"/>
        </w:rPr>
        <w:t>减少了4165.64</w:t>
      </w:r>
      <w:r>
        <w:rPr>
          <w:rFonts w:ascii="Times New Roman" w:hAnsi="Times New Roman" w:eastAsia="仿宋_GB2312" w:cs="Times New Roman"/>
          <w:sz w:val="32"/>
          <w:szCs w:val="32"/>
          <w:highlight w:val="none"/>
        </w:rPr>
        <w:t>万元，主要是</w:t>
      </w:r>
      <w:r>
        <w:rPr>
          <w:rFonts w:hint="eastAsia" w:ascii="Times New Roman" w:hAnsi="Times New Roman" w:eastAsia="仿宋_GB2312" w:cs="Times New Roman"/>
          <w:sz w:val="32"/>
          <w:szCs w:val="32"/>
          <w:highlight w:val="none"/>
        </w:rPr>
        <w:t>项目支出比上年预算减少</w:t>
      </w:r>
      <w:r>
        <w:rPr>
          <w:rFonts w:hint="eastAsia" w:ascii="Times New Roman" w:hAnsi="Times New Roman" w:eastAsia="仿宋_GB2312" w:cs="Times New Roman"/>
          <w:sz w:val="32"/>
          <w:szCs w:val="32"/>
          <w:highlight w:val="none"/>
          <w:lang w:val="en-US" w:eastAsia="zh-CN"/>
        </w:rPr>
        <w:t>4165.64</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w:t>
      </w:r>
    </w:p>
    <w:p>
      <w:pPr>
        <w:ind w:firstLine="640" w:firstLineChars="200"/>
        <w:rPr>
          <w:rFonts w:ascii="Times New Roman" w:hAnsi="Times New Roman" w:eastAsia="黑体" w:cs="Times New Roman"/>
          <w:sz w:val="32"/>
          <w:highlight w:val="none"/>
          <w:shd w:val="clear" w:color="auto" w:fill="FFFFFF"/>
        </w:rPr>
      </w:pPr>
      <w:r>
        <w:rPr>
          <w:rFonts w:ascii="Times New Roman" w:hAnsi="Times New Roman" w:eastAsia="黑体" w:cs="Times New Roman"/>
          <w:sz w:val="32"/>
          <w:highlight w:val="none"/>
          <w:shd w:val="clear" w:color="auto" w:fill="FFFFFF"/>
        </w:rPr>
        <w:t>九、其他重要事项的情况说明</w:t>
      </w:r>
    </w:p>
    <w:p>
      <w:pPr>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（一）机关运行经费（行政单位、参照公务员法管理的事业单位需说明，其他单位不需要说明）</w:t>
      </w:r>
    </w:p>
    <w:p>
      <w:pPr>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（二）政府采购情况</w:t>
      </w:r>
    </w:p>
    <w:p>
      <w:pPr>
        <w:ind w:firstLine="64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三亚市中医院</w:t>
      </w:r>
      <w:r>
        <w:rPr>
          <w:rFonts w:ascii="Times New Roman" w:hAnsi="Times New Roman" w:eastAsia="仿宋_GB2312" w:cs="Times New Roman"/>
          <w:sz w:val="32"/>
          <w:szCs w:val="32"/>
          <w:highlight w:val="none"/>
        </w:rPr>
        <w:t>政府采购预算总额</w:t>
      </w:r>
      <w:r>
        <w:rPr>
          <w:rFonts w:hint="eastAsia" w:ascii="Times New Roman" w:hAnsi="Times New Roman" w:eastAsia="仿宋_GB2312" w:cs="Times New Roman"/>
          <w:sz w:val="32"/>
          <w:szCs w:val="32"/>
          <w:highlight w:val="none"/>
          <w:lang w:val="en-US" w:eastAsia="zh-CN"/>
        </w:rPr>
        <w:t>2670</w:t>
      </w:r>
      <w:r>
        <w:rPr>
          <w:rFonts w:ascii="Times New Roman" w:hAnsi="Times New Roman" w:eastAsia="仿宋_GB2312" w:cs="Times New Roman"/>
          <w:sz w:val="32"/>
          <w:szCs w:val="32"/>
          <w:highlight w:val="none"/>
        </w:rPr>
        <w:t>万元，其中：政府采购</w:t>
      </w:r>
      <w:r>
        <w:rPr>
          <w:rFonts w:hint="eastAsia" w:ascii="Times New Roman" w:hAnsi="Times New Roman" w:eastAsia="仿宋_GB2312" w:cs="Times New Roman"/>
          <w:sz w:val="32"/>
          <w:szCs w:val="32"/>
          <w:highlight w:val="none"/>
        </w:rPr>
        <w:t>设备</w:t>
      </w:r>
      <w:r>
        <w:rPr>
          <w:rFonts w:ascii="Times New Roman" w:hAnsi="Times New Roman" w:eastAsia="仿宋_GB2312" w:cs="Times New Roman"/>
          <w:sz w:val="32"/>
          <w:szCs w:val="32"/>
          <w:highlight w:val="none"/>
        </w:rPr>
        <w:t>预算</w:t>
      </w:r>
      <w:r>
        <w:rPr>
          <w:rFonts w:hint="eastAsia" w:ascii="Times New Roman" w:hAnsi="Times New Roman" w:eastAsia="仿宋_GB2312" w:cs="Times New Roman"/>
          <w:sz w:val="32"/>
          <w:szCs w:val="32"/>
          <w:highlight w:val="none"/>
          <w:lang w:val="en-US" w:eastAsia="zh-CN"/>
        </w:rPr>
        <w:t>1100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val="en-US" w:eastAsia="zh-CN"/>
        </w:rPr>
        <w:t>,新冠患者定点重症救治医院改造经费便利化采购1570万元</w:t>
      </w:r>
      <w:r>
        <w:rPr>
          <w:rFonts w:hint="eastAsia" w:ascii="Times New Roman" w:hAnsi="Times New Roman" w:eastAsia="仿宋_GB2312" w:cs="Times New Roman"/>
          <w:sz w:val="32"/>
          <w:szCs w:val="32"/>
          <w:highlight w:val="none"/>
        </w:rPr>
        <w:t>。</w:t>
      </w:r>
      <w:bookmarkStart w:id="0" w:name="_GoBack"/>
      <w:bookmarkEnd w:id="0"/>
    </w:p>
    <w:p>
      <w:pPr>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（三）国有资产占有使用情况</w:t>
      </w:r>
    </w:p>
    <w:p>
      <w:pPr>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截至</w:t>
      </w: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年12月31日，</w:t>
      </w:r>
      <w:r>
        <w:rPr>
          <w:rFonts w:hint="eastAsia" w:ascii="Times New Roman" w:hAnsi="Times New Roman" w:eastAsia="仿宋_GB2312" w:cs="Times New Roman"/>
          <w:sz w:val="32"/>
          <w:szCs w:val="32"/>
          <w:highlight w:val="none"/>
        </w:rPr>
        <w:t>三亚市中医院</w:t>
      </w:r>
      <w:r>
        <w:rPr>
          <w:rFonts w:ascii="Times New Roman" w:hAnsi="Times New Roman" w:eastAsia="仿宋_GB2312" w:cs="Times New Roman"/>
          <w:sz w:val="32"/>
          <w:szCs w:val="32"/>
          <w:highlight w:val="none"/>
        </w:rPr>
        <w:t>共有车辆</w:t>
      </w:r>
      <w:r>
        <w:rPr>
          <w:rFonts w:hint="eastAsia" w:ascii="Times New Roman" w:hAnsi="Times New Roman" w:eastAsia="仿宋_GB2312" w:cs="Times New Roman"/>
          <w:sz w:val="32"/>
          <w:szCs w:val="32"/>
          <w:highlight w:val="none"/>
        </w:rPr>
        <w:t>17</w:t>
      </w:r>
      <w:r>
        <w:rPr>
          <w:rFonts w:ascii="Times New Roman" w:hAnsi="Times New Roman" w:eastAsia="仿宋_GB2312" w:cs="Times New Roman"/>
          <w:sz w:val="32"/>
          <w:szCs w:val="32"/>
          <w:highlight w:val="none"/>
        </w:rPr>
        <w:t>辆，其中</w:t>
      </w:r>
      <w:r>
        <w:rPr>
          <w:rFonts w:hint="eastAsia" w:ascii="Times New Roman" w:hAnsi="Times New Roman" w:eastAsia="仿宋_GB2312" w:cs="Times New Roman"/>
          <w:sz w:val="32"/>
          <w:szCs w:val="32"/>
          <w:highlight w:val="none"/>
        </w:rPr>
        <w:t>特种专业技术用车1</w:t>
      </w:r>
      <w:r>
        <w:rPr>
          <w:rFonts w:ascii="Times New Roman" w:hAnsi="Times New Roman" w:eastAsia="仿宋_GB2312" w:cs="Times New Roman"/>
          <w:sz w:val="32"/>
          <w:szCs w:val="32"/>
          <w:highlight w:val="none"/>
        </w:rPr>
        <w:t>辆，</w:t>
      </w:r>
      <w:r>
        <w:rPr>
          <w:rFonts w:hint="eastAsia" w:ascii="Times New Roman" w:hAnsi="Times New Roman" w:eastAsia="仿宋_GB2312" w:cs="Times New Roman"/>
          <w:sz w:val="32"/>
          <w:szCs w:val="32"/>
          <w:highlight w:val="none"/>
        </w:rPr>
        <w:t>应急保障用车11</w:t>
      </w:r>
      <w:r>
        <w:rPr>
          <w:rFonts w:ascii="Times New Roman" w:hAnsi="Times New Roman" w:eastAsia="仿宋_GB2312" w:cs="Times New Roman"/>
          <w:sz w:val="32"/>
          <w:szCs w:val="32"/>
          <w:highlight w:val="none"/>
        </w:rPr>
        <w:t>辆、其他用车</w:t>
      </w:r>
      <w:r>
        <w:rPr>
          <w:rFonts w:hint="eastAsia" w:ascii="Times New Roman" w:hAnsi="Times New Roman" w:eastAsia="仿宋_GB2312" w:cs="Times New Roman"/>
          <w:sz w:val="32"/>
          <w:szCs w:val="32"/>
          <w:highlight w:val="none"/>
        </w:rPr>
        <w:t>5</w:t>
      </w:r>
      <w:r>
        <w:rPr>
          <w:rFonts w:ascii="Times New Roman" w:hAnsi="Times New Roman" w:eastAsia="仿宋_GB2312" w:cs="Times New Roman"/>
          <w:sz w:val="32"/>
          <w:szCs w:val="32"/>
          <w:highlight w:val="none"/>
        </w:rPr>
        <w:t>辆。</w:t>
      </w:r>
      <w:r>
        <w:rPr>
          <w:rFonts w:hint="eastAsia" w:ascii="Times New Roman" w:hAnsi="Times New Roman" w:eastAsia="仿宋_GB2312" w:cs="Times New Roman"/>
          <w:sz w:val="32"/>
          <w:szCs w:val="32"/>
          <w:highlight w:val="none"/>
        </w:rPr>
        <w:t>单价50万元（含）以上的通用设备（台、套…）15台，单价100万元（含）以上的专用设备（台、套…）4</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台</w:t>
      </w:r>
      <w:r>
        <w:rPr>
          <w:rFonts w:ascii="Times New Roman" w:hAnsi="Times New Roman" w:eastAsia="仿宋_GB2312" w:cs="Times New Roman"/>
          <w:sz w:val="32"/>
          <w:szCs w:val="32"/>
          <w:highlight w:val="none"/>
        </w:rPr>
        <w:t>。</w:t>
      </w:r>
    </w:p>
    <w:p>
      <w:pPr>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（四）绩效目标设置情况</w:t>
      </w:r>
    </w:p>
    <w:p>
      <w:pP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三亚市中医院</w:t>
      </w: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个项目实行绩效目标管理，涉及一般公共预算</w:t>
      </w:r>
      <w:r>
        <w:rPr>
          <w:rFonts w:hint="eastAsia" w:ascii="Times New Roman" w:hAnsi="Times New Roman" w:eastAsia="仿宋_GB2312" w:cs="Times New Roman"/>
          <w:sz w:val="32"/>
          <w:szCs w:val="32"/>
          <w:highlight w:val="none"/>
          <w:lang w:val="en-US" w:eastAsia="zh-CN"/>
        </w:rPr>
        <w:t>6237.92</w:t>
      </w:r>
      <w:r>
        <w:rPr>
          <w:rFonts w:ascii="Times New Roman" w:hAnsi="Times New Roman" w:eastAsia="仿宋_GB2312" w:cs="Times New Roman"/>
          <w:sz w:val="32"/>
          <w:szCs w:val="32"/>
          <w:highlight w:val="none"/>
        </w:rPr>
        <w:t>万元。</w:t>
      </w:r>
    </w:p>
    <w:p>
      <w:pPr>
        <w:pStyle w:val="7"/>
        <w:spacing w:line="500" w:lineRule="exact"/>
        <w:ind w:firstLine="640"/>
        <w:jc w:val="left"/>
        <w:rPr>
          <w:rFonts w:ascii="Times New Roman" w:hAnsi="Times New Roman" w:eastAsia="仿宋_GB2312" w:cs="Times New Roman"/>
          <w:sz w:val="32"/>
          <w:szCs w:val="32"/>
          <w:highlight w:val="none"/>
        </w:rPr>
      </w:pPr>
    </w:p>
    <w:p>
      <w:pPr>
        <w:spacing w:line="500" w:lineRule="exact"/>
        <w:jc w:val="center"/>
        <w:rPr>
          <w:rFonts w:ascii="黑体" w:hAnsi="黑体" w:eastAsia="黑体"/>
          <w:b/>
          <w:sz w:val="32"/>
          <w:szCs w:val="32"/>
          <w:highlight w:val="none"/>
        </w:rPr>
      </w:pPr>
    </w:p>
    <w:p>
      <w:pPr>
        <w:jc w:val="center"/>
        <w:rPr>
          <w:rFonts w:ascii="Times New Roman" w:hAnsi="Times New Roman" w:eastAsia="黑体" w:cs="Times New Roman"/>
          <w:b/>
          <w:sz w:val="32"/>
          <w:szCs w:val="32"/>
          <w:highlight w:val="none"/>
        </w:rPr>
      </w:pPr>
      <w:r>
        <w:rPr>
          <w:rFonts w:ascii="Times New Roman" w:hAnsi="Times New Roman" w:eastAsia="黑体" w:cs="Times New Roman"/>
          <w:b/>
          <w:sz w:val="32"/>
          <w:szCs w:val="32"/>
          <w:highlight w:val="none"/>
        </w:rPr>
        <w:t>第四部分  名词解释</w:t>
      </w:r>
    </w:p>
    <w:p>
      <w:pPr>
        <w:ind w:firstLine="640" w:firstLineChars="200"/>
        <w:jc w:val="left"/>
        <w:rPr>
          <w:rFonts w:ascii="Times New Roman" w:hAnsi="Times New Roman" w:eastAsia="仿宋_GB2312" w:cs="Times New Roman"/>
          <w:bCs/>
          <w:color w:val="000000"/>
          <w:kern w:val="0"/>
          <w:sz w:val="32"/>
          <w:szCs w:val="32"/>
          <w:highlight w:val="none"/>
          <w:lang w:val="zh-CN"/>
        </w:rPr>
      </w:pP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一、财政拨款收入：指本级财政当年拨付的资金。</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二、事业收入：指事业单位开展专业业务活动及辅助活动取得的收入。</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三、经营收入：指事业单位在专业业务活动及其辅助活动之外开展非独立核算经营活动取得的收入。</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四、其他收入：指除上述“财政拨款收入”“事业收入”“经营收入”等以外的收入。</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五、年初结转和结余：指以前年度尚未完成、结转到本年按有关规定继续使用的资金。</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十、项目支出：指各部门、各单位为完成其特定的工作任务和事业发展目标所发生的支出。</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Times New Roman" w:hAnsi="Times New Roman" w:eastAsia="仿宋_GB2312" w:cs="Times New Roman"/>
          <w:color w:val="000000"/>
          <w:kern w:val="0"/>
          <w:sz w:val="32"/>
          <w:szCs w:val="30"/>
          <w:highlight w:val="none"/>
        </w:rPr>
      </w:pPr>
      <w:r>
        <w:rPr>
          <w:rFonts w:ascii="Times New Roman" w:hAnsi="Times New Roman" w:eastAsia="仿宋_GB2312" w:cs="Times New Roman"/>
          <w:color w:val="000000"/>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pStyle w:val="7"/>
        <w:spacing w:line="500" w:lineRule="exact"/>
        <w:ind w:firstLine="1040"/>
        <w:jc w:val="left"/>
        <w:rPr>
          <w:rFonts w:asciiTheme="majorEastAsia" w:hAnsiTheme="majorEastAsia" w:eastAsiaTheme="majorEastAsia" w:cstheme="majorEastAsia"/>
          <w:sz w:val="52"/>
          <w:szCs w:val="5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32E5B"/>
    <w:multiLevelType w:val="singleLevel"/>
    <w:tmpl w:val="B6E32E5B"/>
    <w:lvl w:ilvl="0" w:tentative="0">
      <w:start w:val="4"/>
      <w:numFmt w:val="chineseCounting"/>
      <w:suff w:val="nothing"/>
      <w:lvlText w:val="%1、"/>
      <w:lvlJc w:val="left"/>
      <w:rPr>
        <w:rFonts w:hint="eastAsia"/>
      </w:rPr>
    </w:lvl>
  </w:abstractNum>
  <w:abstractNum w:abstractNumId="1">
    <w:nsid w:val="C0322F7B"/>
    <w:multiLevelType w:val="singleLevel"/>
    <w:tmpl w:val="C0322F7B"/>
    <w:lvl w:ilvl="0" w:tentative="0">
      <w:start w:val="1"/>
      <w:numFmt w:val="chineseCounting"/>
      <w:suff w:val="nothing"/>
      <w:lvlText w:val="%1、"/>
      <w:lvlJc w:val="left"/>
      <w:rPr>
        <w:rFonts w:hint="eastAsia"/>
      </w:rPr>
    </w:lvl>
  </w:abstractNum>
  <w:abstractNum w:abstractNumId="2">
    <w:nsid w:val="EBF9D906"/>
    <w:multiLevelType w:val="singleLevel"/>
    <w:tmpl w:val="EBF9D906"/>
    <w:lvl w:ilvl="0" w:tentative="0">
      <w:start w:val="1"/>
      <w:numFmt w:val="chineseCounting"/>
      <w:suff w:val="nothing"/>
      <w:lvlText w:val="%1、"/>
      <w:lvlJc w:val="left"/>
      <w:pPr>
        <w:ind w:left="30"/>
      </w:pPr>
      <w:rPr>
        <w:rFonts w:hint="eastAsia"/>
        <w:b/>
        <w:bCs/>
      </w:rPr>
    </w:lvl>
  </w:abstractNum>
  <w:abstractNum w:abstractNumId="3">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6AA781"/>
    <w:multiLevelType w:val="singleLevel"/>
    <w:tmpl w:val="216AA781"/>
    <w:lvl w:ilvl="0" w:tentative="0">
      <w:start w:val="3"/>
      <w:numFmt w:val="chineseCounting"/>
      <w:suff w:val="nothing"/>
      <w:lvlText w:val="（%1）"/>
      <w:lvlJc w:val="left"/>
      <w:rPr>
        <w:rFonts w:hint="eastAsia"/>
      </w:rPr>
    </w:lvl>
  </w:abstractNum>
  <w:abstractNum w:abstractNumId="5">
    <w:nsid w:val="482B4A57"/>
    <w:multiLevelType w:val="singleLevel"/>
    <w:tmpl w:val="482B4A57"/>
    <w:lvl w:ilvl="0" w:tentative="0">
      <w:start w:val="1"/>
      <w:numFmt w:val="chineseCounting"/>
      <w:suff w:val="nothing"/>
      <w:lvlText w:val="%1、"/>
      <w:lvlJc w:val="left"/>
      <w:rPr>
        <w:rFonts w:hint="eastAsia"/>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kzM2RlMzEzY2Q5MDU0YzU5YWE4OTRkNDgzMmI3YmQifQ=="/>
  </w:docVars>
  <w:rsids>
    <w:rsidRoot w:val="004D39D0"/>
    <w:rsid w:val="0000716F"/>
    <w:rsid w:val="000F14EE"/>
    <w:rsid w:val="00143664"/>
    <w:rsid w:val="0017255E"/>
    <w:rsid w:val="00273598"/>
    <w:rsid w:val="003419B2"/>
    <w:rsid w:val="003863B2"/>
    <w:rsid w:val="003A1FCB"/>
    <w:rsid w:val="003F76FF"/>
    <w:rsid w:val="00417FF1"/>
    <w:rsid w:val="00431926"/>
    <w:rsid w:val="00463FC7"/>
    <w:rsid w:val="004A1367"/>
    <w:rsid w:val="004D39D0"/>
    <w:rsid w:val="00595D86"/>
    <w:rsid w:val="005C4C33"/>
    <w:rsid w:val="005E2A67"/>
    <w:rsid w:val="00685FF9"/>
    <w:rsid w:val="007A1C60"/>
    <w:rsid w:val="007E3261"/>
    <w:rsid w:val="008057F8"/>
    <w:rsid w:val="00815943"/>
    <w:rsid w:val="0083516E"/>
    <w:rsid w:val="008E14C8"/>
    <w:rsid w:val="008E34C1"/>
    <w:rsid w:val="008F5B37"/>
    <w:rsid w:val="00971910"/>
    <w:rsid w:val="009C7383"/>
    <w:rsid w:val="009D2306"/>
    <w:rsid w:val="00A03EA0"/>
    <w:rsid w:val="00A24E8B"/>
    <w:rsid w:val="00A7694A"/>
    <w:rsid w:val="00A84FC7"/>
    <w:rsid w:val="00AA61F3"/>
    <w:rsid w:val="00AC0130"/>
    <w:rsid w:val="00AD5B5B"/>
    <w:rsid w:val="00B509EF"/>
    <w:rsid w:val="00BA5C06"/>
    <w:rsid w:val="00BF1FE2"/>
    <w:rsid w:val="00C92DDA"/>
    <w:rsid w:val="00CE1DE5"/>
    <w:rsid w:val="00D02E0C"/>
    <w:rsid w:val="00D213C4"/>
    <w:rsid w:val="00D80D17"/>
    <w:rsid w:val="00D81563"/>
    <w:rsid w:val="00DA4D04"/>
    <w:rsid w:val="00DC4F5A"/>
    <w:rsid w:val="00DC78FC"/>
    <w:rsid w:val="00DD2A3A"/>
    <w:rsid w:val="00EE4EEC"/>
    <w:rsid w:val="00F21342"/>
    <w:rsid w:val="00F90D56"/>
    <w:rsid w:val="0198761C"/>
    <w:rsid w:val="02224608"/>
    <w:rsid w:val="037408DC"/>
    <w:rsid w:val="06C60653"/>
    <w:rsid w:val="07CD060B"/>
    <w:rsid w:val="09E85885"/>
    <w:rsid w:val="0B0A4AB2"/>
    <w:rsid w:val="0B2549E4"/>
    <w:rsid w:val="0C1E733C"/>
    <w:rsid w:val="0D1E00EF"/>
    <w:rsid w:val="0D9C6599"/>
    <w:rsid w:val="1203212D"/>
    <w:rsid w:val="14170C6B"/>
    <w:rsid w:val="14660012"/>
    <w:rsid w:val="158B236D"/>
    <w:rsid w:val="15DC4B89"/>
    <w:rsid w:val="16177B96"/>
    <w:rsid w:val="16894D59"/>
    <w:rsid w:val="17B713BE"/>
    <w:rsid w:val="18062F21"/>
    <w:rsid w:val="18682E31"/>
    <w:rsid w:val="18E32D2C"/>
    <w:rsid w:val="18F4382B"/>
    <w:rsid w:val="192344D4"/>
    <w:rsid w:val="19DC3498"/>
    <w:rsid w:val="1A245155"/>
    <w:rsid w:val="1AD51F68"/>
    <w:rsid w:val="1B1E227A"/>
    <w:rsid w:val="1B7D0913"/>
    <w:rsid w:val="1C453935"/>
    <w:rsid w:val="1CE812E3"/>
    <w:rsid w:val="1EEE4222"/>
    <w:rsid w:val="1F2E6AF8"/>
    <w:rsid w:val="21142333"/>
    <w:rsid w:val="22C952F3"/>
    <w:rsid w:val="23D058B6"/>
    <w:rsid w:val="25CC5CB9"/>
    <w:rsid w:val="271C6563"/>
    <w:rsid w:val="276C7956"/>
    <w:rsid w:val="280027C7"/>
    <w:rsid w:val="285E7C91"/>
    <w:rsid w:val="28D72180"/>
    <w:rsid w:val="29CB42AA"/>
    <w:rsid w:val="29EE5C8A"/>
    <w:rsid w:val="29F11C4B"/>
    <w:rsid w:val="2AC970E1"/>
    <w:rsid w:val="2B5521D3"/>
    <w:rsid w:val="2DFC6BEF"/>
    <w:rsid w:val="31091CC4"/>
    <w:rsid w:val="31E0405A"/>
    <w:rsid w:val="324066EA"/>
    <w:rsid w:val="33EC3721"/>
    <w:rsid w:val="340A0076"/>
    <w:rsid w:val="34BA4EF5"/>
    <w:rsid w:val="35B10B25"/>
    <w:rsid w:val="35C47268"/>
    <w:rsid w:val="35D308DF"/>
    <w:rsid w:val="35EF2F28"/>
    <w:rsid w:val="383D01EF"/>
    <w:rsid w:val="387739CB"/>
    <w:rsid w:val="39717E35"/>
    <w:rsid w:val="3C976232"/>
    <w:rsid w:val="3FC131B5"/>
    <w:rsid w:val="41521A01"/>
    <w:rsid w:val="438B6918"/>
    <w:rsid w:val="43E87A09"/>
    <w:rsid w:val="449D1AE1"/>
    <w:rsid w:val="458B7124"/>
    <w:rsid w:val="45B82046"/>
    <w:rsid w:val="49594FD8"/>
    <w:rsid w:val="4A5433C4"/>
    <w:rsid w:val="4F3C12D5"/>
    <w:rsid w:val="4F9B1B72"/>
    <w:rsid w:val="50B75E46"/>
    <w:rsid w:val="50C83FDF"/>
    <w:rsid w:val="564D1B54"/>
    <w:rsid w:val="571F0777"/>
    <w:rsid w:val="58971AEB"/>
    <w:rsid w:val="592F70E1"/>
    <w:rsid w:val="5A7D6AA4"/>
    <w:rsid w:val="5AA42073"/>
    <w:rsid w:val="5D3311AA"/>
    <w:rsid w:val="61806122"/>
    <w:rsid w:val="61E53122"/>
    <w:rsid w:val="61FE158C"/>
    <w:rsid w:val="658230BA"/>
    <w:rsid w:val="65B90CE0"/>
    <w:rsid w:val="67031F75"/>
    <w:rsid w:val="68363FA8"/>
    <w:rsid w:val="6AEC2459"/>
    <w:rsid w:val="6B3E5199"/>
    <w:rsid w:val="6B4257D8"/>
    <w:rsid w:val="6B62394F"/>
    <w:rsid w:val="6BB77E6E"/>
    <w:rsid w:val="6CC31AB9"/>
    <w:rsid w:val="6D065460"/>
    <w:rsid w:val="6E9674D2"/>
    <w:rsid w:val="701722AD"/>
    <w:rsid w:val="711A4829"/>
    <w:rsid w:val="78855594"/>
    <w:rsid w:val="78C47CD9"/>
    <w:rsid w:val="78FF66CA"/>
    <w:rsid w:val="79AB1990"/>
    <w:rsid w:val="79EB2C51"/>
    <w:rsid w:val="7B9642BA"/>
    <w:rsid w:val="7BF20F80"/>
    <w:rsid w:val="7C8E590B"/>
    <w:rsid w:val="7D464CB9"/>
    <w:rsid w:val="7D8F5DD5"/>
    <w:rsid w:val="7ED372E9"/>
    <w:rsid w:val="7EEC153A"/>
    <w:rsid w:val="7F7B5C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4626</Words>
  <Characters>5174</Characters>
  <Lines>34</Lines>
  <Paragraphs>9</Paragraphs>
  <TotalTime>10</TotalTime>
  <ScaleCrop>false</ScaleCrop>
  <LinksUpToDate>false</LinksUpToDate>
  <CharactersWithSpaces>5211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2021-03-02T02:58:00Z</dcterms:created>
  <dc:creator>Administrator</dc:creator>
  <cp:lastModifiedBy>lenovo</cp:lastModifiedBy>
  <dcterms:modified xsi:type="dcterms:W3CDTF">2023-02-21T08:04:29Z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5D2FFEBCDC75492C8D9182EA2B19B802</vt:lpwstr>
  </property>
</Properties>
</file>