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CC" w:rsidRPr="006452BC" w:rsidRDefault="000F3D9D">
      <w:pPr>
        <w:rPr>
          <w:rFonts w:ascii="黑体" w:eastAsia="黑体" w:hAnsi="宋体"/>
          <w:sz w:val="32"/>
          <w:szCs w:val="32"/>
        </w:rPr>
      </w:pPr>
      <w:r w:rsidRPr="006452BC">
        <w:rPr>
          <w:rFonts w:ascii="黑体" w:eastAsia="黑体" w:hAnsi="宋体" w:hint="eastAsia"/>
          <w:sz w:val="32"/>
          <w:szCs w:val="32"/>
        </w:rPr>
        <w:t>附件1</w:t>
      </w:r>
    </w:p>
    <w:p w:rsidR="00ED50CC" w:rsidRPr="006452BC" w:rsidRDefault="00ED50CC">
      <w:pPr>
        <w:rPr>
          <w:rFonts w:ascii="宋体" w:hAnsi="宋体"/>
          <w:sz w:val="30"/>
          <w:szCs w:val="30"/>
        </w:rPr>
      </w:pPr>
    </w:p>
    <w:p w:rsidR="00ED50CC" w:rsidRPr="006452BC" w:rsidRDefault="000F3D9D">
      <w:pPr>
        <w:jc w:val="center"/>
        <w:rPr>
          <w:rFonts w:ascii="黑体" w:eastAsia="黑体" w:hAnsi="ˎ̥"/>
          <w:sz w:val="44"/>
          <w:szCs w:val="44"/>
        </w:rPr>
      </w:pPr>
      <w:r w:rsidRPr="006452BC">
        <w:rPr>
          <w:rFonts w:ascii="黑体" w:eastAsia="黑体" w:hAnsi="ˎ̥" w:hint="eastAsia"/>
          <w:sz w:val="44"/>
          <w:szCs w:val="44"/>
        </w:rPr>
        <w:t>三亚中心医院2020年度</w:t>
      </w:r>
    </w:p>
    <w:p w:rsidR="00ED50CC" w:rsidRPr="006452BC" w:rsidRDefault="000F3D9D">
      <w:pPr>
        <w:jc w:val="center"/>
        <w:rPr>
          <w:rFonts w:ascii="黑体" w:eastAsia="黑体" w:hAnsi="ˎ̥"/>
          <w:sz w:val="44"/>
          <w:szCs w:val="44"/>
        </w:rPr>
      </w:pPr>
      <w:r w:rsidRPr="006452BC">
        <w:rPr>
          <w:rFonts w:ascii="黑体" w:eastAsia="黑体" w:hAnsi="ˎ̥" w:hint="eastAsia"/>
          <w:sz w:val="44"/>
          <w:szCs w:val="44"/>
        </w:rPr>
        <w:t>部门决算公开文字说明</w:t>
      </w:r>
    </w:p>
    <w:p w:rsidR="00ED50CC" w:rsidRPr="006452BC" w:rsidRDefault="000F3D9D">
      <w:pPr>
        <w:jc w:val="center"/>
        <w:rPr>
          <w:rFonts w:ascii="黑体" w:eastAsia="黑体" w:hAnsi="黑体" w:cs="黑体"/>
          <w:sz w:val="44"/>
          <w:szCs w:val="44"/>
        </w:rPr>
      </w:pPr>
      <w:bookmarkStart w:id="0" w:name="_Toc11440_WPSOffice_Type2"/>
      <w:r w:rsidRPr="006452BC">
        <w:rPr>
          <w:rFonts w:ascii="黑体" w:eastAsia="黑体" w:hAnsi="黑体" w:cs="黑体" w:hint="eastAsia"/>
          <w:sz w:val="44"/>
          <w:szCs w:val="44"/>
        </w:rPr>
        <w:t>目  录</w:t>
      </w:r>
    </w:p>
    <w:p w:rsidR="00ED50CC" w:rsidRPr="006452BC" w:rsidRDefault="002A697D">
      <w:pPr>
        <w:pStyle w:val="WPSOffice1"/>
        <w:tabs>
          <w:tab w:val="right" w:leader="dot" w:pos="8306"/>
        </w:tabs>
        <w:rPr>
          <w:rFonts w:asciiTheme="minorEastAsia" w:eastAsiaTheme="minorEastAsia" w:hAnsiTheme="minorEastAsia"/>
          <w:sz w:val="32"/>
          <w:szCs w:val="32"/>
        </w:rPr>
      </w:pPr>
      <w:hyperlink w:anchor="_Toc1704_WPSOffice_Level1" w:history="1">
        <w:r w:rsidR="000F3D9D" w:rsidRPr="006452BC">
          <w:rPr>
            <w:rFonts w:asciiTheme="minorEastAsia" w:eastAsiaTheme="minorEastAsia" w:hAnsiTheme="minorEastAsia" w:hint="eastAsia"/>
            <w:sz w:val="32"/>
            <w:szCs w:val="32"/>
          </w:rPr>
          <w:t>第一部分   三亚中心医院单位概况</w:t>
        </w:r>
        <w:r w:rsidR="000F3D9D" w:rsidRPr="006452BC">
          <w:rPr>
            <w:rFonts w:asciiTheme="minorEastAsia" w:eastAsiaTheme="minorEastAsia" w:hAnsiTheme="minorEastAsia"/>
            <w:sz w:val="32"/>
            <w:szCs w:val="32"/>
          </w:rPr>
          <w:tab/>
        </w:r>
        <w:r w:rsidR="00572650">
          <w:rPr>
            <w:rFonts w:asciiTheme="minorEastAsia" w:eastAsiaTheme="minorEastAsia" w:hAnsiTheme="minorEastAsia" w:hint="eastAsia"/>
            <w:sz w:val="32"/>
            <w:szCs w:val="32"/>
          </w:rPr>
          <w:t>2</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20274_WPSOffice_Level2" w:history="1">
        <w:r w:rsidR="000F3D9D" w:rsidRPr="006452BC">
          <w:rPr>
            <w:rFonts w:asciiTheme="minorEastAsia" w:eastAsiaTheme="minorEastAsia" w:hAnsiTheme="minorEastAsia" w:cs="仿宋" w:hint="eastAsia"/>
            <w:sz w:val="32"/>
            <w:szCs w:val="32"/>
          </w:rPr>
          <w:t>一、部门职责</w:t>
        </w:r>
        <w:r w:rsidR="000F3D9D" w:rsidRPr="006452BC">
          <w:rPr>
            <w:rFonts w:asciiTheme="minorEastAsia" w:eastAsiaTheme="minorEastAsia" w:hAnsiTheme="minorEastAsia" w:cs="仿宋" w:hint="eastAsia"/>
            <w:sz w:val="32"/>
            <w:szCs w:val="32"/>
          </w:rPr>
          <w:tab/>
        </w:r>
        <w:r w:rsidR="00572650">
          <w:rPr>
            <w:rFonts w:asciiTheme="minorEastAsia" w:eastAsiaTheme="minorEastAsia" w:hAnsiTheme="minorEastAsia" w:cs="仿宋" w:hint="eastAsia"/>
            <w:sz w:val="32"/>
            <w:szCs w:val="32"/>
          </w:rPr>
          <w:t>2</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4833_WPSOffice_Level2" w:history="1">
        <w:r w:rsidR="000F3D9D" w:rsidRPr="006452BC">
          <w:rPr>
            <w:rFonts w:asciiTheme="minorEastAsia" w:eastAsiaTheme="minorEastAsia" w:hAnsiTheme="minorEastAsia" w:cs="仿宋" w:hint="eastAsia"/>
            <w:sz w:val="32"/>
            <w:szCs w:val="32"/>
          </w:rPr>
          <w:t>二、机构设置</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1"/>
        <w:tabs>
          <w:tab w:val="right" w:leader="dot" w:pos="8306"/>
        </w:tabs>
        <w:rPr>
          <w:rFonts w:asciiTheme="minorEastAsia" w:eastAsiaTheme="minorEastAsia" w:hAnsiTheme="minorEastAsia"/>
          <w:sz w:val="32"/>
          <w:szCs w:val="32"/>
        </w:rPr>
      </w:pPr>
      <w:hyperlink w:anchor="_Toc28253_WPSOffice_Level1" w:history="1">
        <w:r w:rsidR="000F3D9D" w:rsidRPr="006452BC">
          <w:rPr>
            <w:rFonts w:asciiTheme="minorEastAsia" w:eastAsiaTheme="minorEastAsia" w:hAnsiTheme="minorEastAsia" w:hint="eastAsia"/>
            <w:sz w:val="32"/>
            <w:szCs w:val="32"/>
          </w:rPr>
          <w:t>第二部分 三亚中心医院2020年度部门决算公开表</w:t>
        </w:r>
        <w:r w:rsidR="000F3D9D" w:rsidRPr="006452BC">
          <w:rPr>
            <w:rFonts w:asciiTheme="minorEastAsia" w:eastAsiaTheme="minorEastAsia" w:hAnsiTheme="minorEastAsia"/>
            <w:sz w:val="32"/>
            <w:szCs w:val="32"/>
          </w:rPr>
          <w:tab/>
        </w:r>
        <w:r w:rsidR="000F3D9D" w:rsidRPr="006452BC">
          <w:rPr>
            <w:rFonts w:asciiTheme="minorEastAsia" w:eastAsiaTheme="minorEastAsia" w:hAnsiTheme="minorEastAsia" w:hint="eastAsia"/>
            <w:sz w:val="32"/>
            <w:szCs w:val="32"/>
          </w:rPr>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11518_WPSOffice_Level2" w:history="1">
        <w:r w:rsidR="000F3D9D" w:rsidRPr="006452BC">
          <w:rPr>
            <w:rFonts w:asciiTheme="minorEastAsia" w:eastAsiaTheme="minorEastAsia" w:hAnsiTheme="minorEastAsia" w:cs="仿宋" w:hint="eastAsia"/>
            <w:sz w:val="32"/>
            <w:szCs w:val="32"/>
          </w:rPr>
          <w:t>一、收入支出决算公开表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28622_WPSOffice_Level2" w:history="1">
        <w:r w:rsidR="000F3D9D" w:rsidRPr="006452BC">
          <w:rPr>
            <w:rFonts w:asciiTheme="minorEastAsia" w:eastAsiaTheme="minorEastAsia" w:hAnsiTheme="minorEastAsia" w:cs="仿宋" w:hint="eastAsia"/>
            <w:sz w:val="32"/>
            <w:szCs w:val="32"/>
          </w:rPr>
          <w:t>二、收入决算公开表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5489_WPSOffice_Level2" w:history="1">
        <w:r w:rsidR="000F3D9D" w:rsidRPr="006452BC">
          <w:rPr>
            <w:rFonts w:asciiTheme="minorEastAsia" w:eastAsiaTheme="minorEastAsia" w:hAnsiTheme="minorEastAsia" w:cs="仿宋" w:hint="eastAsia"/>
            <w:sz w:val="32"/>
            <w:szCs w:val="32"/>
          </w:rPr>
          <w:t>三、支出决算公开表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23493_WPSOffice_Level2" w:history="1">
        <w:r w:rsidR="000F3D9D" w:rsidRPr="006452BC">
          <w:rPr>
            <w:rFonts w:asciiTheme="minorEastAsia" w:eastAsiaTheme="minorEastAsia" w:hAnsiTheme="minorEastAsia" w:cs="仿宋" w:hint="eastAsia"/>
            <w:sz w:val="32"/>
            <w:szCs w:val="32"/>
          </w:rPr>
          <w:t>四、财政拨款收入支出决算公开表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7879_WPSOffice_Level2" w:history="1">
        <w:r w:rsidR="000F3D9D" w:rsidRPr="006452BC">
          <w:rPr>
            <w:rFonts w:asciiTheme="minorEastAsia" w:eastAsiaTheme="minorEastAsia" w:hAnsiTheme="minorEastAsia" w:cs="仿宋" w:hint="eastAsia"/>
            <w:sz w:val="32"/>
            <w:szCs w:val="32"/>
          </w:rPr>
          <w:t>五、一般公共预算财政拨款收入支出决算公开表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8373_WPSOffice_Level2" w:history="1">
        <w:r w:rsidR="000F3D9D" w:rsidRPr="006452BC">
          <w:rPr>
            <w:rFonts w:asciiTheme="minorEastAsia" w:eastAsiaTheme="minorEastAsia" w:hAnsiTheme="minorEastAsia" w:cs="仿宋" w:hint="eastAsia"/>
            <w:sz w:val="32"/>
            <w:szCs w:val="32"/>
          </w:rPr>
          <w:t>六、一般公共预算财政拨款基本支出决算公开表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1820_WPSOffice_Level2" w:history="1">
        <w:r w:rsidR="000F3D9D" w:rsidRPr="006452BC">
          <w:rPr>
            <w:rFonts w:asciiTheme="minorEastAsia" w:eastAsiaTheme="minorEastAsia" w:hAnsiTheme="minorEastAsia" w:cs="仿宋" w:hint="eastAsia"/>
            <w:sz w:val="32"/>
            <w:szCs w:val="32"/>
          </w:rPr>
          <w:t>七、政府性基金预算财政拨款收入支出决算公开表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1820_WPSOffice_Level2" w:history="1">
        <w:r w:rsidR="000F3D9D" w:rsidRPr="006452BC">
          <w:rPr>
            <w:rFonts w:asciiTheme="minorEastAsia" w:eastAsiaTheme="minorEastAsia" w:hAnsiTheme="minorEastAsia" w:cs="仿宋" w:hint="eastAsia"/>
            <w:sz w:val="32"/>
            <w:szCs w:val="32"/>
          </w:rPr>
          <w:t>八、国有资本经营预算财政拨款收入支出决算公开表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21310_WPSOffice_Level2" w:history="1">
        <w:r w:rsidR="000F3D9D" w:rsidRPr="006452BC">
          <w:rPr>
            <w:rFonts w:asciiTheme="minorEastAsia" w:eastAsiaTheme="minorEastAsia" w:hAnsiTheme="minorEastAsia" w:cs="仿宋" w:hint="eastAsia"/>
            <w:sz w:val="32"/>
            <w:szCs w:val="32"/>
          </w:rPr>
          <w:t>九、一般公共预算财政拨款“三公”经费支出决算公开表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21310_WPSOffice_Level2" w:history="1">
        <w:r w:rsidR="000F3D9D" w:rsidRPr="006452BC">
          <w:rPr>
            <w:rFonts w:asciiTheme="minorEastAsia" w:eastAsiaTheme="minorEastAsia" w:hAnsiTheme="minorEastAsia" w:cs="仿宋" w:hint="eastAsia"/>
            <w:sz w:val="32"/>
            <w:szCs w:val="32"/>
          </w:rPr>
          <w:t>十、政府性基金预算财政拨款“三公”经费支出决算公开表</w:t>
        </w:r>
        <w:r w:rsidR="000F3D9D" w:rsidRPr="006452BC">
          <w:rPr>
            <w:rFonts w:asciiTheme="minorEastAsia" w:eastAsiaTheme="minorEastAsia" w:hAnsiTheme="minorEastAsia" w:cs="仿宋" w:hint="eastAsia"/>
            <w:sz w:val="32"/>
            <w:szCs w:val="32"/>
          </w:rPr>
          <w:tab/>
        </w:r>
      </w:hyperlink>
      <w:r w:rsidR="000F3D9D" w:rsidRPr="006452BC">
        <w:rPr>
          <w:rFonts w:asciiTheme="minorEastAsia" w:eastAsiaTheme="minorEastAsia" w:hAnsiTheme="minorEastAsia" w:cs="仿宋" w:hint="eastAsia"/>
          <w:sz w:val="32"/>
          <w:szCs w:val="32"/>
        </w:rPr>
        <w:t>3</w:t>
      </w:r>
    </w:p>
    <w:p w:rsidR="00ED50CC" w:rsidRPr="006452BC" w:rsidRDefault="002A697D">
      <w:pPr>
        <w:pStyle w:val="WPSOffice2"/>
        <w:tabs>
          <w:tab w:val="right" w:leader="dot" w:pos="8306"/>
        </w:tabs>
        <w:ind w:leftChars="0"/>
        <w:rPr>
          <w:rFonts w:asciiTheme="minorEastAsia" w:eastAsiaTheme="minorEastAsia" w:hAnsiTheme="minorEastAsia" w:cs="仿宋"/>
          <w:sz w:val="32"/>
          <w:szCs w:val="32"/>
        </w:rPr>
      </w:pPr>
      <w:hyperlink w:anchor="_Toc21310_WPSOffice_Level2" w:history="1">
        <w:r w:rsidR="000F3D9D" w:rsidRPr="006452BC">
          <w:rPr>
            <w:rFonts w:asciiTheme="minorEastAsia" w:eastAsiaTheme="minorEastAsia" w:hAnsiTheme="minorEastAsia" w:cs="仿宋" w:hint="eastAsia"/>
            <w:sz w:val="32"/>
            <w:szCs w:val="32"/>
          </w:rPr>
          <w:t>十一、国有资本经营预算财政拨款“三公”经费支出决算公开表</w:t>
        </w:r>
        <w:r w:rsidR="000F3D9D" w:rsidRPr="006452BC">
          <w:rPr>
            <w:rFonts w:asciiTheme="minorEastAsia" w:eastAsiaTheme="minorEastAsia" w:hAnsiTheme="minorEastAsia" w:cs="仿宋" w:hint="eastAsia"/>
            <w:sz w:val="32"/>
            <w:szCs w:val="32"/>
          </w:rPr>
          <w:tab/>
          <w:t>3</w:t>
        </w:r>
      </w:hyperlink>
    </w:p>
    <w:p w:rsidR="00ED50CC" w:rsidRPr="006452BC" w:rsidRDefault="002A697D">
      <w:pPr>
        <w:pStyle w:val="WPSOffice1"/>
        <w:tabs>
          <w:tab w:val="right" w:leader="dot" w:pos="8306"/>
        </w:tabs>
        <w:rPr>
          <w:rFonts w:asciiTheme="minorEastAsia" w:eastAsiaTheme="minorEastAsia" w:hAnsiTheme="minorEastAsia"/>
          <w:sz w:val="32"/>
          <w:szCs w:val="32"/>
        </w:rPr>
      </w:pPr>
      <w:hyperlink w:anchor="_Toc27590_WPSOffice_Level1" w:history="1">
        <w:r w:rsidR="000F3D9D" w:rsidRPr="006452BC">
          <w:rPr>
            <w:rFonts w:asciiTheme="minorEastAsia" w:eastAsiaTheme="minorEastAsia" w:hAnsiTheme="minorEastAsia" w:cs="黑体" w:hint="eastAsia"/>
            <w:sz w:val="32"/>
            <w:szCs w:val="32"/>
          </w:rPr>
          <w:t>第三部分</w:t>
        </w:r>
        <w:r w:rsidR="000F3D9D" w:rsidRPr="006452BC">
          <w:rPr>
            <w:rFonts w:asciiTheme="minorEastAsia" w:eastAsiaTheme="minorEastAsia" w:hAnsiTheme="minorEastAsia" w:hint="eastAsia"/>
            <w:sz w:val="32"/>
            <w:szCs w:val="32"/>
          </w:rPr>
          <w:t>三亚中心医院2020年度部门决算情况说明</w:t>
        </w:r>
        <w:r w:rsidR="000F3D9D" w:rsidRPr="006452BC">
          <w:rPr>
            <w:rFonts w:asciiTheme="minorEastAsia" w:eastAsiaTheme="minorEastAsia" w:hAnsiTheme="minorEastAsia"/>
            <w:sz w:val="32"/>
            <w:szCs w:val="32"/>
          </w:rPr>
          <w:tab/>
        </w:r>
        <w:r w:rsidR="000F3D9D" w:rsidRPr="006452BC">
          <w:rPr>
            <w:rFonts w:asciiTheme="minorEastAsia" w:eastAsiaTheme="minorEastAsia" w:hAnsiTheme="minorEastAsia" w:hint="eastAsia"/>
            <w:sz w:val="32"/>
            <w:szCs w:val="32"/>
          </w:rPr>
          <w:t>4</w:t>
        </w:r>
      </w:hyperlink>
    </w:p>
    <w:bookmarkEnd w:id="0"/>
    <w:p w:rsidR="00985541" w:rsidRPr="00985541" w:rsidRDefault="002A697D" w:rsidP="00985541">
      <w:pPr>
        <w:pStyle w:val="WPSOffice2"/>
        <w:tabs>
          <w:tab w:val="right" w:leader="dot" w:pos="8306"/>
        </w:tabs>
        <w:ind w:leftChars="0" w:left="0"/>
        <w:rPr>
          <w:rFonts w:asciiTheme="minorEastAsia" w:eastAsiaTheme="minorEastAsia" w:hAnsiTheme="minorEastAsia" w:cs="仿宋"/>
          <w:sz w:val="32"/>
          <w:szCs w:val="32"/>
        </w:rPr>
      </w:pPr>
      <w:r w:rsidRPr="00985541">
        <w:rPr>
          <w:rFonts w:asciiTheme="minorEastAsia" w:eastAsiaTheme="minorEastAsia" w:hAnsiTheme="minorEastAsia" w:cs="仿宋" w:hint="eastAsia"/>
          <w:sz w:val="32"/>
          <w:szCs w:val="32"/>
        </w:rPr>
        <w:fldChar w:fldCharType="begin"/>
      </w:r>
      <w:r w:rsidR="00985541" w:rsidRPr="00985541">
        <w:rPr>
          <w:rFonts w:asciiTheme="minorEastAsia" w:eastAsiaTheme="minorEastAsia" w:hAnsiTheme="minorEastAsia" w:cs="仿宋" w:hint="eastAsia"/>
          <w:sz w:val="32"/>
          <w:szCs w:val="32"/>
        </w:rPr>
        <w:instrText xml:space="preserve"> HYPERLINK \l _Toc21737_WPSOffice_Level2 </w:instrText>
      </w:r>
      <w:r w:rsidRPr="00985541">
        <w:rPr>
          <w:rFonts w:asciiTheme="minorEastAsia" w:eastAsiaTheme="minorEastAsia" w:hAnsiTheme="minorEastAsia" w:cs="仿宋" w:hint="eastAsia"/>
          <w:sz w:val="32"/>
          <w:szCs w:val="32"/>
        </w:rPr>
        <w:fldChar w:fldCharType="separate"/>
      </w:r>
      <w:r w:rsidR="00985541" w:rsidRPr="00985541">
        <w:rPr>
          <w:rFonts w:asciiTheme="minorEastAsia" w:eastAsiaTheme="minorEastAsia" w:hAnsiTheme="minorEastAsia" w:cs="仿宋" w:hint="eastAsia"/>
          <w:bCs/>
          <w:sz w:val="32"/>
          <w:szCs w:val="32"/>
        </w:rPr>
        <w:t>一、收入支出决算总体情况说明</w:t>
      </w:r>
      <w:r w:rsidR="00985541" w:rsidRPr="00985541">
        <w:rPr>
          <w:rFonts w:asciiTheme="minorEastAsia" w:eastAsiaTheme="minorEastAsia" w:hAnsiTheme="minorEastAsia" w:cs="仿宋" w:hint="eastAsia"/>
          <w:sz w:val="32"/>
          <w:szCs w:val="32"/>
        </w:rPr>
        <w:tab/>
        <w:t>4</w:t>
      </w:r>
      <w:r w:rsidRPr="00985541">
        <w:rPr>
          <w:rFonts w:asciiTheme="minorEastAsia" w:eastAsiaTheme="minorEastAsia" w:hAnsiTheme="minorEastAsia" w:cs="仿宋" w:hint="eastAsia"/>
          <w:sz w:val="32"/>
          <w:szCs w:val="32"/>
        </w:rPr>
        <w:fldChar w:fldCharType="end"/>
      </w:r>
    </w:p>
    <w:p w:rsidR="00985541" w:rsidRPr="00985541" w:rsidRDefault="002A697D" w:rsidP="00985541">
      <w:pPr>
        <w:pStyle w:val="WPSOffice2"/>
        <w:tabs>
          <w:tab w:val="right" w:leader="dot" w:pos="8306"/>
        </w:tabs>
        <w:ind w:leftChars="0" w:left="0"/>
        <w:rPr>
          <w:rFonts w:asciiTheme="minorEastAsia" w:eastAsiaTheme="minorEastAsia" w:hAnsiTheme="minorEastAsia" w:cs="仿宋"/>
          <w:sz w:val="32"/>
          <w:szCs w:val="32"/>
        </w:rPr>
      </w:pPr>
      <w:hyperlink w:anchor="_Toc19535_WPSOffice_Level2" w:history="1">
        <w:r w:rsidR="00985541" w:rsidRPr="00985541">
          <w:rPr>
            <w:rFonts w:asciiTheme="minorEastAsia" w:eastAsiaTheme="minorEastAsia" w:hAnsiTheme="minorEastAsia" w:cs="仿宋" w:hint="eastAsia"/>
            <w:bCs/>
            <w:sz w:val="32"/>
            <w:szCs w:val="32"/>
          </w:rPr>
          <w:t>二、收入决算情况说明</w:t>
        </w:r>
        <w:r w:rsidR="00985541" w:rsidRPr="00985541">
          <w:rPr>
            <w:rFonts w:asciiTheme="minorEastAsia" w:eastAsiaTheme="minorEastAsia" w:hAnsiTheme="minorEastAsia" w:cs="仿宋" w:hint="eastAsia"/>
            <w:sz w:val="32"/>
            <w:szCs w:val="32"/>
          </w:rPr>
          <w:tab/>
          <w:t>5</w:t>
        </w:r>
      </w:hyperlink>
    </w:p>
    <w:p w:rsidR="00985541" w:rsidRPr="00985541" w:rsidRDefault="002A697D" w:rsidP="00985541">
      <w:pPr>
        <w:pStyle w:val="WPSOffice2"/>
        <w:tabs>
          <w:tab w:val="right" w:leader="dot" w:pos="8306"/>
        </w:tabs>
        <w:ind w:leftChars="0" w:left="0"/>
        <w:rPr>
          <w:rFonts w:asciiTheme="minorEastAsia" w:eastAsiaTheme="minorEastAsia" w:hAnsiTheme="minorEastAsia" w:cs="仿宋"/>
          <w:sz w:val="32"/>
          <w:szCs w:val="32"/>
        </w:rPr>
      </w:pPr>
      <w:hyperlink w:anchor="_Toc19535_WPSOffice_Level2" w:history="1">
        <w:r w:rsidR="00985541" w:rsidRPr="00985541">
          <w:rPr>
            <w:rFonts w:asciiTheme="minorEastAsia" w:eastAsiaTheme="minorEastAsia" w:hAnsiTheme="minorEastAsia" w:cs="仿宋" w:hint="eastAsia"/>
            <w:bCs/>
            <w:sz w:val="32"/>
            <w:szCs w:val="32"/>
          </w:rPr>
          <w:t>三、支出决算情况说明</w:t>
        </w:r>
        <w:r w:rsidR="00985541" w:rsidRPr="00985541">
          <w:rPr>
            <w:rFonts w:asciiTheme="minorEastAsia" w:eastAsiaTheme="minorEastAsia" w:hAnsiTheme="minorEastAsia" w:cs="仿宋" w:hint="eastAsia"/>
            <w:sz w:val="32"/>
            <w:szCs w:val="32"/>
          </w:rPr>
          <w:tab/>
          <w:t>5</w:t>
        </w:r>
      </w:hyperlink>
    </w:p>
    <w:p w:rsidR="00985541" w:rsidRPr="00985541" w:rsidRDefault="002A697D" w:rsidP="00985541">
      <w:pPr>
        <w:pStyle w:val="WPSOffice2"/>
        <w:tabs>
          <w:tab w:val="right" w:leader="dot" w:pos="8306"/>
        </w:tabs>
        <w:ind w:leftChars="0" w:left="0"/>
        <w:rPr>
          <w:rFonts w:asciiTheme="minorEastAsia" w:eastAsiaTheme="minorEastAsia" w:hAnsiTheme="minorEastAsia" w:cs="仿宋"/>
          <w:sz w:val="32"/>
          <w:szCs w:val="32"/>
        </w:rPr>
      </w:pPr>
      <w:hyperlink w:anchor="_Toc19535_WPSOffice_Level2" w:history="1">
        <w:r w:rsidR="00985541" w:rsidRPr="00985541">
          <w:rPr>
            <w:rFonts w:asciiTheme="minorEastAsia" w:eastAsiaTheme="minorEastAsia" w:hAnsiTheme="minorEastAsia" w:cs="仿宋" w:hint="eastAsia"/>
            <w:bCs/>
            <w:sz w:val="32"/>
            <w:szCs w:val="32"/>
          </w:rPr>
          <w:t>四、财政拨款收入支出决算情况说明</w:t>
        </w:r>
        <w:r w:rsidR="00985541" w:rsidRPr="00985541">
          <w:rPr>
            <w:rFonts w:asciiTheme="minorEastAsia" w:eastAsiaTheme="minorEastAsia" w:hAnsiTheme="minorEastAsia" w:cs="仿宋" w:hint="eastAsia"/>
            <w:sz w:val="32"/>
            <w:szCs w:val="32"/>
          </w:rPr>
          <w:tab/>
          <w:t>5</w:t>
        </w:r>
      </w:hyperlink>
    </w:p>
    <w:p w:rsidR="00985541" w:rsidRPr="00985541" w:rsidRDefault="002A697D" w:rsidP="00985541">
      <w:pPr>
        <w:pStyle w:val="WPSOffice2"/>
        <w:tabs>
          <w:tab w:val="right" w:leader="dot" w:pos="8306"/>
        </w:tabs>
        <w:ind w:leftChars="0" w:left="0"/>
        <w:rPr>
          <w:rFonts w:asciiTheme="minorEastAsia" w:eastAsiaTheme="minorEastAsia" w:hAnsiTheme="minorEastAsia" w:cs="仿宋"/>
          <w:sz w:val="32"/>
          <w:szCs w:val="32"/>
        </w:rPr>
      </w:pPr>
      <w:hyperlink w:anchor="_Toc19535_WPSOffice_Level2" w:history="1">
        <w:r w:rsidR="00985541" w:rsidRPr="00985541">
          <w:rPr>
            <w:rFonts w:asciiTheme="minorEastAsia" w:eastAsiaTheme="minorEastAsia" w:hAnsiTheme="minorEastAsia" w:cs="仿宋" w:hint="eastAsia"/>
            <w:bCs/>
            <w:sz w:val="32"/>
            <w:szCs w:val="32"/>
          </w:rPr>
          <w:t>五、一般公共预算财政拨款支出决算情况说明</w:t>
        </w:r>
        <w:r w:rsidR="00985541" w:rsidRPr="00985541">
          <w:rPr>
            <w:rFonts w:asciiTheme="minorEastAsia" w:eastAsiaTheme="minorEastAsia" w:hAnsiTheme="minorEastAsia" w:cs="仿宋" w:hint="eastAsia"/>
            <w:sz w:val="32"/>
            <w:szCs w:val="32"/>
          </w:rPr>
          <w:tab/>
        </w:r>
        <w:r w:rsidR="008C2B38">
          <w:rPr>
            <w:rFonts w:asciiTheme="minorEastAsia" w:eastAsiaTheme="minorEastAsia" w:hAnsiTheme="minorEastAsia" w:cs="仿宋" w:hint="eastAsia"/>
            <w:sz w:val="32"/>
            <w:szCs w:val="32"/>
          </w:rPr>
          <w:t>5</w:t>
        </w:r>
      </w:hyperlink>
    </w:p>
    <w:p w:rsidR="00985541" w:rsidRPr="00985541" w:rsidRDefault="002A697D" w:rsidP="00985541">
      <w:pPr>
        <w:pStyle w:val="WPSOffice2"/>
        <w:tabs>
          <w:tab w:val="right" w:leader="dot" w:pos="8306"/>
        </w:tabs>
        <w:ind w:leftChars="0" w:left="0"/>
        <w:rPr>
          <w:rFonts w:asciiTheme="minorEastAsia" w:eastAsiaTheme="minorEastAsia" w:hAnsiTheme="minorEastAsia" w:cs="仿宋"/>
          <w:sz w:val="32"/>
          <w:szCs w:val="32"/>
        </w:rPr>
      </w:pPr>
      <w:hyperlink w:anchor="_Toc19535_WPSOffice_Level2" w:history="1">
        <w:r w:rsidR="00985541" w:rsidRPr="00985541">
          <w:rPr>
            <w:rFonts w:asciiTheme="minorEastAsia" w:eastAsiaTheme="minorEastAsia" w:hAnsiTheme="minorEastAsia" w:cs="仿宋" w:hint="eastAsia"/>
            <w:bCs/>
            <w:sz w:val="32"/>
            <w:szCs w:val="32"/>
          </w:rPr>
          <w:t>六、一般公共预算财政拨款基本支出决算情况说明</w:t>
        </w:r>
      </w:hyperlink>
      <w:r w:rsidR="00985541" w:rsidRPr="00985541">
        <w:rPr>
          <w:rFonts w:asciiTheme="minorEastAsia" w:eastAsiaTheme="minorEastAsia" w:hAnsiTheme="minorEastAsia" w:cs="仿宋" w:hint="eastAsia"/>
          <w:sz w:val="32"/>
          <w:szCs w:val="32"/>
        </w:rPr>
        <w:tab/>
        <w:t>7</w:t>
      </w:r>
    </w:p>
    <w:p w:rsidR="00985541" w:rsidRPr="00985541" w:rsidRDefault="00985541" w:rsidP="00985541">
      <w:pPr>
        <w:pStyle w:val="WPSOffice2"/>
        <w:numPr>
          <w:ilvl w:val="0"/>
          <w:numId w:val="1"/>
        </w:numPr>
        <w:tabs>
          <w:tab w:val="right" w:leader="dot" w:pos="8306"/>
        </w:tabs>
        <w:ind w:leftChars="0" w:left="0"/>
        <w:rPr>
          <w:rFonts w:asciiTheme="minorEastAsia" w:eastAsiaTheme="minorEastAsia" w:hAnsiTheme="minorEastAsia" w:cs="仿宋"/>
          <w:sz w:val="32"/>
          <w:szCs w:val="32"/>
        </w:rPr>
      </w:pPr>
      <w:r w:rsidRPr="00985541">
        <w:rPr>
          <w:rFonts w:asciiTheme="minorEastAsia" w:eastAsiaTheme="minorEastAsia" w:hAnsiTheme="minorEastAsia" w:cs="仿宋" w:hint="eastAsia"/>
          <w:bCs/>
          <w:sz w:val="32"/>
          <w:szCs w:val="32"/>
        </w:rPr>
        <w:t>政府性基金预算财政拨款收入支出决算情况说明</w:t>
      </w:r>
      <w:r w:rsidRPr="00985541">
        <w:rPr>
          <w:rFonts w:asciiTheme="minorEastAsia" w:eastAsiaTheme="minorEastAsia" w:hAnsiTheme="minorEastAsia" w:cs="仿宋" w:hint="eastAsia"/>
          <w:sz w:val="32"/>
          <w:szCs w:val="32"/>
        </w:rPr>
        <w:tab/>
      </w:r>
      <w:r w:rsidR="000F424A">
        <w:rPr>
          <w:rFonts w:asciiTheme="minorEastAsia" w:eastAsiaTheme="minorEastAsia" w:hAnsiTheme="minorEastAsia" w:cs="仿宋" w:hint="eastAsia"/>
          <w:sz w:val="32"/>
          <w:szCs w:val="32"/>
        </w:rPr>
        <w:t>7</w:t>
      </w:r>
    </w:p>
    <w:p w:rsidR="00985541" w:rsidRPr="00985541" w:rsidRDefault="00985541" w:rsidP="00985541">
      <w:pPr>
        <w:pStyle w:val="WPSOffice2"/>
        <w:numPr>
          <w:ilvl w:val="0"/>
          <w:numId w:val="1"/>
        </w:numPr>
        <w:tabs>
          <w:tab w:val="right" w:leader="dot" w:pos="8306"/>
        </w:tabs>
        <w:ind w:leftChars="0" w:left="0"/>
        <w:rPr>
          <w:rFonts w:asciiTheme="minorEastAsia" w:eastAsiaTheme="minorEastAsia" w:hAnsiTheme="minorEastAsia" w:cs="仿宋"/>
          <w:sz w:val="32"/>
          <w:szCs w:val="32"/>
        </w:rPr>
      </w:pPr>
      <w:r w:rsidRPr="00985541">
        <w:rPr>
          <w:rFonts w:asciiTheme="minorEastAsia" w:eastAsiaTheme="minorEastAsia" w:hAnsiTheme="minorEastAsia" w:cs="仿宋" w:hint="eastAsia"/>
          <w:bCs/>
          <w:sz w:val="32"/>
          <w:szCs w:val="32"/>
        </w:rPr>
        <w:t>国有资本经营预算财政拨款收入支出决算情况说明</w:t>
      </w:r>
      <w:r w:rsidRPr="00985541">
        <w:rPr>
          <w:rFonts w:asciiTheme="minorEastAsia" w:eastAsiaTheme="minorEastAsia" w:hAnsiTheme="minorEastAsia" w:cs="仿宋" w:hint="eastAsia"/>
          <w:sz w:val="32"/>
          <w:szCs w:val="32"/>
        </w:rPr>
        <w:tab/>
        <w:t>8</w:t>
      </w:r>
    </w:p>
    <w:p w:rsidR="00985541" w:rsidRPr="00985541" w:rsidRDefault="002A697D" w:rsidP="00985541">
      <w:pPr>
        <w:rPr>
          <w:rFonts w:asciiTheme="minorEastAsia" w:eastAsiaTheme="minorEastAsia" w:hAnsiTheme="minorEastAsia" w:cs="仿宋"/>
          <w:w w:val="98"/>
          <w:sz w:val="32"/>
          <w:szCs w:val="32"/>
        </w:rPr>
      </w:pPr>
      <w:r w:rsidRPr="002A697D">
        <w:rPr>
          <w:rFonts w:asciiTheme="minorEastAsia" w:eastAsiaTheme="minorEastAsia" w:hAnsiTheme="minorEastAsia" w:cs="仿宋" w:hint="eastAsia"/>
          <w:sz w:val="32"/>
          <w:szCs w:val="32"/>
        </w:rPr>
        <w:fldChar w:fldCharType="begin"/>
      </w:r>
      <w:r w:rsidR="00985541" w:rsidRPr="00985541">
        <w:rPr>
          <w:rFonts w:asciiTheme="minorEastAsia" w:eastAsiaTheme="minorEastAsia" w:hAnsiTheme="minorEastAsia" w:cs="仿宋" w:hint="eastAsia"/>
          <w:sz w:val="32"/>
          <w:szCs w:val="32"/>
        </w:rPr>
        <w:instrText xml:space="preserve"> HYPERLINK \l _Toc5978_WPSOffice_Level2 </w:instrText>
      </w:r>
      <w:r w:rsidRPr="002A697D">
        <w:rPr>
          <w:rFonts w:asciiTheme="minorEastAsia" w:eastAsiaTheme="minorEastAsia" w:hAnsiTheme="minorEastAsia" w:cs="仿宋" w:hint="eastAsia"/>
          <w:sz w:val="32"/>
          <w:szCs w:val="32"/>
        </w:rPr>
        <w:fldChar w:fldCharType="separate"/>
      </w:r>
      <w:r w:rsidR="00985541" w:rsidRPr="00985541">
        <w:rPr>
          <w:rFonts w:asciiTheme="minorEastAsia" w:eastAsiaTheme="minorEastAsia" w:hAnsiTheme="minorEastAsia" w:cs="仿宋" w:hint="eastAsia"/>
          <w:bCs/>
          <w:sz w:val="32"/>
          <w:szCs w:val="32"/>
        </w:rPr>
        <w:t>九、</w:t>
      </w:r>
      <w:r w:rsidR="00985541" w:rsidRPr="00985541">
        <w:rPr>
          <w:rFonts w:asciiTheme="minorEastAsia" w:eastAsiaTheme="minorEastAsia" w:hAnsiTheme="minorEastAsia" w:cs="仿宋" w:hint="eastAsia"/>
          <w:bCs/>
          <w:w w:val="98"/>
          <w:sz w:val="32"/>
          <w:szCs w:val="32"/>
        </w:rPr>
        <w:t>一般公共预算财政拨款“三公”经费支出决算情况说明</w:t>
      </w:r>
    </w:p>
    <w:p w:rsidR="00985541" w:rsidRPr="00985541" w:rsidRDefault="00985541" w:rsidP="00985541">
      <w:pPr>
        <w:pStyle w:val="WPSOffice2"/>
        <w:tabs>
          <w:tab w:val="right" w:leader="dot" w:pos="8306"/>
        </w:tabs>
        <w:ind w:leftChars="0" w:left="0"/>
        <w:rPr>
          <w:rFonts w:asciiTheme="minorEastAsia" w:eastAsiaTheme="minorEastAsia" w:hAnsiTheme="minorEastAsia" w:cs="仿宋"/>
          <w:sz w:val="32"/>
          <w:szCs w:val="32"/>
        </w:rPr>
      </w:pPr>
      <w:r w:rsidRPr="00985541">
        <w:rPr>
          <w:rFonts w:asciiTheme="minorEastAsia" w:eastAsiaTheme="minorEastAsia" w:hAnsiTheme="minorEastAsia" w:cs="仿宋" w:hint="eastAsia"/>
          <w:sz w:val="32"/>
          <w:szCs w:val="32"/>
        </w:rPr>
        <w:tab/>
      </w:r>
      <w:r w:rsidR="002A697D" w:rsidRPr="00985541">
        <w:rPr>
          <w:rFonts w:asciiTheme="minorEastAsia" w:eastAsiaTheme="minorEastAsia" w:hAnsiTheme="minorEastAsia" w:cs="仿宋" w:hint="eastAsia"/>
          <w:sz w:val="32"/>
          <w:szCs w:val="32"/>
        </w:rPr>
        <w:fldChar w:fldCharType="end"/>
      </w:r>
      <w:r w:rsidR="000F424A">
        <w:rPr>
          <w:rFonts w:asciiTheme="minorEastAsia" w:eastAsiaTheme="minorEastAsia" w:hAnsiTheme="minorEastAsia" w:cs="仿宋" w:hint="eastAsia"/>
          <w:sz w:val="32"/>
          <w:szCs w:val="32"/>
        </w:rPr>
        <w:t>9</w:t>
      </w:r>
    </w:p>
    <w:p w:rsidR="00985541" w:rsidRPr="00985541" w:rsidRDefault="002A697D" w:rsidP="00985541">
      <w:pPr>
        <w:rPr>
          <w:rFonts w:asciiTheme="minorEastAsia" w:eastAsiaTheme="minorEastAsia" w:hAnsiTheme="minorEastAsia" w:cs="仿宋"/>
          <w:w w:val="98"/>
          <w:sz w:val="32"/>
          <w:szCs w:val="32"/>
        </w:rPr>
      </w:pPr>
      <w:r w:rsidRPr="002A697D">
        <w:rPr>
          <w:rFonts w:asciiTheme="minorEastAsia" w:eastAsiaTheme="minorEastAsia" w:hAnsiTheme="minorEastAsia" w:cs="仿宋" w:hint="eastAsia"/>
          <w:sz w:val="32"/>
          <w:szCs w:val="32"/>
        </w:rPr>
        <w:fldChar w:fldCharType="begin"/>
      </w:r>
      <w:r w:rsidR="00985541" w:rsidRPr="00985541">
        <w:rPr>
          <w:rFonts w:asciiTheme="minorEastAsia" w:eastAsiaTheme="minorEastAsia" w:hAnsiTheme="minorEastAsia" w:cs="仿宋" w:hint="eastAsia"/>
          <w:sz w:val="32"/>
          <w:szCs w:val="32"/>
        </w:rPr>
        <w:instrText xml:space="preserve"> HYPERLINK \l _Toc5978_WPSOffice_Level2 </w:instrText>
      </w:r>
      <w:r w:rsidRPr="002A697D">
        <w:rPr>
          <w:rFonts w:asciiTheme="minorEastAsia" w:eastAsiaTheme="minorEastAsia" w:hAnsiTheme="minorEastAsia" w:cs="仿宋" w:hint="eastAsia"/>
          <w:sz w:val="32"/>
          <w:szCs w:val="32"/>
        </w:rPr>
        <w:fldChar w:fldCharType="separate"/>
      </w:r>
      <w:r w:rsidR="00985541" w:rsidRPr="00985541">
        <w:rPr>
          <w:rFonts w:asciiTheme="minorEastAsia" w:eastAsiaTheme="minorEastAsia" w:hAnsiTheme="minorEastAsia" w:cs="仿宋" w:hint="eastAsia"/>
          <w:bCs/>
          <w:sz w:val="32"/>
          <w:szCs w:val="32"/>
        </w:rPr>
        <w:t>十、</w:t>
      </w:r>
      <w:r w:rsidR="00985541" w:rsidRPr="00985541">
        <w:rPr>
          <w:rFonts w:asciiTheme="minorEastAsia" w:eastAsiaTheme="minorEastAsia" w:hAnsiTheme="minorEastAsia" w:cs="仿宋" w:hint="eastAsia"/>
          <w:bCs/>
          <w:w w:val="98"/>
          <w:sz w:val="32"/>
          <w:szCs w:val="32"/>
        </w:rPr>
        <w:t>政府性基金预算财政拨款“三公”经费支出决算情况说明</w:t>
      </w:r>
    </w:p>
    <w:p w:rsidR="00985541" w:rsidRPr="00985541" w:rsidRDefault="00985541" w:rsidP="00985541">
      <w:pPr>
        <w:pStyle w:val="WPSOffice2"/>
        <w:tabs>
          <w:tab w:val="right" w:leader="dot" w:pos="8306"/>
        </w:tabs>
        <w:ind w:leftChars="0" w:left="0"/>
        <w:rPr>
          <w:rFonts w:asciiTheme="minorEastAsia" w:eastAsiaTheme="minorEastAsia" w:hAnsiTheme="minorEastAsia" w:cs="仿宋"/>
          <w:sz w:val="32"/>
          <w:szCs w:val="32"/>
        </w:rPr>
      </w:pPr>
      <w:r w:rsidRPr="00985541">
        <w:rPr>
          <w:rFonts w:asciiTheme="minorEastAsia" w:eastAsiaTheme="minorEastAsia" w:hAnsiTheme="minorEastAsia" w:cs="仿宋" w:hint="eastAsia"/>
          <w:sz w:val="32"/>
          <w:szCs w:val="32"/>
        </w:rPr>
        <w:tab/>
      </w:r>
      <w:r w:rsidR="002A697D" w:rsidRPr="00985541">
        <w:rPr>
          <w:rFonts w:asciiTheme="minorEastAsia" w:eastAsiaTheme="minorEastAsia" w:hAnsiTheme="minorEastAsia" w:cs="仿宋" w:hint="eastAsia"/>
          <w:sz w:val="32"/>
          <w:szCs w:val="32"/>
        </w:rPr>
        <w:fldChar w:fldCharType="end"/>
      </w:r>
      <w:r w:rsidR="000F424A">
        <w:rPr>
          <w:rFonts w:asciiTheme="minorEastAsia" w:eastAsiaTheme="minorEastAsia" w:hAnsiTheme="minorEastAsia" w:cs="仿宋" w:hint="eastAsia"/>
          <w:sz w:val="32"/>
          <w:szCs w:val="32"/>
        </w:rPr>
        <w:t>9</w:t>
      </w:r>
    </w:p>
    <w:p w:rsidR="00985541" w:rsidRPr="00985541" w:rsidRDefault="002A697D" w:rsidP="00985541">
      <w:pPr>
        <w:rPr>
          <w:rFonts w:asciiTheme="minorEastAsia" w:eastAsiaTheme="minorEastAsia" w:hAnsiTheme="minorEastAsia" w:cs="仿宋"/>
          <w:w w:val="91"/>
          <w:sz w:val="32"/>
          <w:szCs w:val="32"/>
        </w:rPr>
      </w:pPr>
      <w:r w:rsidRPr="002A697D">
        <w:rPr>
          <w:rFonts w:asciiTheme="minorEastAsia" w:eastAsiaTheme="minorEastAsia" w:hAnsiTheme="minorEastAsia" w:cs="仿宋" w:hint="eastAsia"/>
          <w:sz w:val="32"/>
          <w:szCs w:val="32"/>
        </w:rPr>
        <w:fldChar w:fldCharType="begin"/>
      </w:r>
      <w:r w:rsidR="00985541" w:rsidRPr="00985541">
        <w:rPr>
          <w:rFonts w:asciiTheme="minorEastAsia" w:eastAsiaTheme="minorEastAsia" w:hAnsiTheme="minorEastAsia" w:cs="仿宋" w:hint="eastAsia"/>
          <w:sz w:val="32"/>
          <w:szCs w:val="32"/>
        </w:rPr>
        <w:instrText xml:space="preserve"> HYPERLINK \l _Toc5978_WPSOffice_Level2 </w:instrText>
      </w:r>
      <w:r w:rsidRPr="002A697D">
        <w:rPr>
          <w:rFonts w:asciiTheme="minorEastAsia" w:eastAsiaTheme="minorEastAsia" w:hAnsiTheme="minorEastAsia" w:cs="仿宋" w:hint="eastAsia"/>
          <w:sz w:val="32"/>
          <w:szCs w:val="32"/>
        </w:rPr>
        <w:fldChar w:fldCharType="separate"/>
      </w:r>
      <w:r w:rsidR="00985541" w:rsidRPr="00985541">
        <w:rPr>
          <w:rFonts w:asciiTheme="minorEastAsia" w:eastAsiaTheme="minorEastAsia" w:hAnsiTheme="minorEastAsia" w:cs="仿宋" w:hint="eastAsia"/>
          <w:bCs/>
          <w:w w:val="91"/>
          <w:sz w:val="32"/>
          <w:szCs w:val="32"/>
        </w:rPr>
        <w:t>十一、国有资本经营预算财政拨款“三公”经费支出决算情况说明</w:t>
      </w:r>
    </w:p>
    <w:p w:rsidR="00985541" w:rsidRPr="00985541" w:rsidRDefault="00985541" w:rsidP="00985541">
      <w:pPr>
        <w:pStyle w:val="WPSOffice2"/>
        <w:tabs>
          <w:tab w:val="right" w:leader="dot" w:pos="8306"/>
        </w:tabs>
        <w:ind w:leftChars="0" w:left="0"/>
        <w:rPr>
          <w:rFonts w:asciiTheme="minorEastAsia" w:eastAsiaTheme="minorEastAsia" w:hAnsiTheme="minorEastAsia" w:cs="仿宋"/>
          <w:sz w:val="32"/>
          <w:szCs w:val="32"/>
        </w:rPr>
      </w:pPr>
      <w:r w:rsidRPr="00985541">
        <w:rPr>
          <w:rFonts w:asciiTheme="minorEastAsia" w:eastAsiaTheme="minorEastAsia" w:hAnsiTheme="minorEastAsia" w:cs="仿宋" w:hint="eastAsia"/>
          <w:sz w:val="32"/>
          <w:szCs w:val="32"/>
        </w:rPr>
        <w:tab/>
      </w:r>
      <w:r w:rsidR="002A697D" w:rsidRPr="00985541">
        <w:rPr>
          <w:rFonts w:asciiTheme="minorEastAsia" w:eastAsiaTheme="minorEastAsia" w:hAnsiTheme="minorEastAsia" w:cs="仿宋" w:hint="eastAsia"/>
          <w:sz w:val="32"/>
          <w:szCs w:val="32"/>
        </w:rPr>
        <w:fldChar w:fldCharType="end"/>
      </w:r>
      <w:r w:rsidRPr="00985541">
        <w:rPr>
          <w:rFonts w:asciiTheme="minorEastAsia" w:eastAsiaTheme="minorEastAsia" w:hAnsiTheme="minorEastAsia" w:cs="仿宋" w:hint="eastAsia"/>
          <w:sz w:val="32"/>
          <w:szCs w:val="32"/>
        </w:rPr>
        <w:t>10</w:t>
      </w:r>
    </w:p>
    <w:p w:rsidR="00985541" w:rsidRPr="00985541" w:rsidRDefault="002A697D" w:rsidP="00985541">
      <w:pPr>
        <w:pStyle w:val="WPSOffice2"/>
        <w:tabs>
          <w:tab w:val="right" w:leader="dot" w:pos="8306"/>
        </w:tabs>
        <w:ind w:leftChars="0" w:left="0"/>
        <w:rPr>
          <w:rFonts w:asciiTheme="minorEastAsia" w:eastAsiaTheme="minorEastAsia" w:hAnsiTheme="minorEastAsia" w:cs="仿宋"/>
          <w:sz w:val="32"/>
          <w:szCs w:val="32"/>
        </w:rPr>
      </w:pPr>
      <w:hyperlink w:anchor="_Toc19535_WPSOffice_Level2" w:history="1">
        <w:r w:rsidR="00985541" w:rsidRPr="00985541">
          <w:rPr>
            <w:rFonts w:asciiTheme="minorEastAsia" w:eastAsiaTheme="minorEastAsia" w:hAnsiTheme="minorEastAsia" w:cs="仿宋" w:hint="eastAsia"/>
            <w:bCs/>
            <w:sz w:val="32"/>
            <w:szCs w:val="32"/>
          </w:rPr>
          <w:t>十二、预算绩效情况说明</w:t>
        </w:r>
        <w:r w:rsidR="00985541" w:rsidRPr="00985541">
          <w:rPr>
            <w:rFonts w:asciiTheme="minorEastAsia" w:eastAsiaTheme="minorEastAsia" w:hAnsiTheme="minorEastAsia" w:cs="仿宋" w:hint="eastAsia"/>
            <w:sz w:val="32"/>
            <w:szCs w:val="32"/>
          </w:rPr>
          <w:tab/>
        </w:r>
      </w:hyperlink>
      <w:r w:rsidR="000F424A">
        <w:rPr>
          <w:rFonts w:asciiTheme="minorEastAsia" w:eastAsiaTheme="minorEastAsia" w:hAnsiTheme="minorEastAsia" w:cs="仿宋" w:hint="eastAsia"/>
          <w:sz w:val="32"/>
          <w:szCs w:val="32"/>
        </w:rPr>
        <w:t>10</w:t>
      </w:r>
    </w:p>
    <w:p w:rsidR="006452BC" w:rsidRPr="00985541" w:rsidRDefault="00985541" w:rsidP="00985541">
      <w:pPr>
        <w:pStyle w:val="WPSOffice2"/>
        <w:tabs>
          <w:tab w:val="right" w:leader="dot" w:pos="8306"/>
        </w:tabs>
        <w:ind w:leftChars="0" w:left="0"/>
        <w:rPr>
          <w:rFonts w:asciiTheme="minorEastAsia" w:eastAsiaTheme="minorEastAsia" w:hAnsiTheme="minorEastAsia" w:cs="仿宋"/>
          <w:sz w:val="32"/>
          <w:szCs w:val="32"/>
        </w:rPr>
      </w:pPr>
      <w:r w:rsidRPr="00985541">
        <w:rPr>
          <w:rFonts w:asciiTheme="minorEastAsia" w:eastAsiaTheme="minorEastAsia" w:hAnsiTheme="minorEastAsia" w:cs="仿宋" w:hint="eastAsia"/>
          <w:bCs/>
          <w:sz w:val="32"/>
          <w:szCs w:val="32"/>
        </w:rPr>
        <w:t>十三、其他重要事项情况说明</w:t>
      </w:r>
      <w:r w:rsidRPr="00985541">
        <w:rPr>
          <w:rFonts w:asciiTheme="minorEastAsia" w:eastAsiaTheme="minorEastAsia" w:hAnsiTheme="minorEastAsia" w:cs="仿宋" w:hint="eastAsia"/>
          <w:sz w:val="32"/>
          <w:szCs w:val="32"/>
        </w:rPr>
        <w:tab/>
        <w:t>1</w:t>
      </w:r>
      <w:r w:rsidR="000F424A">
        <w:rPr>
          <w:rFonts w:asciiTheme="minorEastAsia" w:eastAsiaTheme="minorEastAsia" w:hAnsiTheme="minorEastAsia" w:cs="仿宋" w:hint="eastAsia"/>
          <w:sz w:val="32"/>
          <w:szCs w:val="32"/>
        </w:rPr>
        <w:t>2</w:t>
      </w:r>
    </w:p>
    <w:p w:rsidR="00917802" w:rsidRDefault="00917802" w:rsidP="006452BC">
      <w:pPr>
        <w:jc w:val="center"/>
        <w:rPr>
          <w:rFonts w:asciiTheme="minorEastAsia" w:eastAsiaTheme="minorEastAsia" w:hAnsiTheme="minorEastAsia" w:hint="eastAsia"/>
          <w:sz w:val="32"/>
          <w:szCs w:val="32"/>
        </w:rPr>
      </w:pPr>
      <w:bookmarkStart w:id="1" w:name="_Toc10049_WPSOffice_Level1"/>
      <w:bookmarkStart w:id="2" w:name="_Toc22941_WPSOffice_Level1"/>
      <w:bookmarkStart w:id="3" w:name="_Toc32433_WPSOffice_Level1"/>
      <w:bookmarkStart w:id="4" w:name="_Toc23465_WPSOffice_Level1"/>
      <w:bookmarkStart w:id="5" w:name="_Toc10720_WPSOffice_Level1"/>
      <w:bookmarkStart w:id="6" w:name="_Toc1704_WPSOffice_Level1"/>
      <w:bookmarkStart w:id="7" w:name="_Toc24238_WPSOffice_Level2"/>
      <w:bookmarkStart w:id="8" w:name="_Toc14159_WPSOffice_Level2"/>
      <w:bookmarkStart w:id="9" w:name="_Toc32622_WPSOffice_Level2"/>
      <w:bookmarkStart w:id="10" w:name="_Toc20274_WPSOffice_Level2"/>
      <w:bookmarkStart w:id="11" w:name="_Toc26580_WPSOffice_Level2"/>
      <w:bookmarkStart w:id="12" w:name="_Toc20205_WPSOffice_Level2"/>
    </w:p>
    <w:p w:rsidR="00917802" w:rsidRDefault="00917802" w:rsidP="006452BC">
      <w:pPr>
        <w:jc w:val="center"/>
        <w:rPr>
          <w:rFonts w:asciiTheme="minorEastAsia" w:eastAsiaTheme="minorEastAsia" w:hAnsiTheme="minorEastAsia" w:hint="eastAsia"/>
          <w:sz w:val="32"/>
          <w:szCs w:val="32"/>
        </w:rPr>
      </w:pPr>
    </w:p>
    <w:p w:rsidR="00917802" w:rsidRDefault="00917802" w:rsidP="006452BC">
      <w:pPr>
        <w:jc w:val="center"/>
        <w:rPr>
          <w:rFonts w:asciiTheme="minorEastAsia" w:eastAsiaTheme="minorEastAsia" w:hAnsiTheme="minorEastAsia" w:hint="eastAsia"/>
          <w:sz w:val="32"/>
          <w:szCs w:val="32"/>
        </w:rPr>
      </w:pPr>
    </w:p>
    <w:p w:rsidR="00917802" w:rsidRDefault="00917802" w:rsidP="006452BC">
      <w:pPr>
        <w:jc w:val="center"/>
        <w:rPr>
          <w:rFonts w:asciiTheme="minorEastAsia" w:eastAsiaTheme="minorEastAsia" w:hAnsiTheme="minorEastAsia" w:hint="eastAsia"/>
          <w:sz w:val="32"/>
          <w:szCs w:val="32"/>
        </w:rPr>
      </w:pPr>
    </w:p>
    <w:p w:rsidR="00917802" w:rsidRDefault="00917802" w:rsidP="006452BC">
      <w:pPr>
        <w:jc w:val="center"/>
        <w:rPr>
          <w:rFonts w:asciiTheme="minorEastAsia" w:eastAsiaTheme="minorEastAsia" w:hAnsiTheme="minorEastAsia" w:hint="eastAsia"/>
          <w:sz w:val="32"/>
          <w:szCs w:val="32"/>
        </w:rPr>
      </w:pPr>
    </w:p>
    <w:p w:rsidR="00ED50CC" w:rsidRPr="006452BC" w:rsidRDefault="000F3D9D" w:rsidP="006452BC">
      <w:pPr>
        <w:jc w:val="center"/>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lastRenderedPageBreak/>
        <w:t xml:space="preserve">第一部分  </w:t>
      </w:r>
      <w:r w:rsidR="00CC7B42" w:rsidRPr="006452BC">
        <w:rPr>
          <w:rFonts w:asciiTheme="minorEastAsia" w:eastAsiaTheme="minorEastAsia" w:hAnsiTheme="minorEastAsia" w:hint="eastAsia"/>
          <w:sz w:val="32"/>
          <w:szCs w:val="32"/>
        </w:rPr>
        <w:t>单位</w:t>
      </w:r>
      <w:r w:rsidRPr="006452BC">
        <w:rPr>
          <w:rFonts w:asciiTheme="minorEastAsia" w:eastAsiaTheme="minorEastAsia" w:hAnsiTheme="minorEastAsia" w:hint="eastAsia"/>
          <w:sz w:val="32"/>
          <w:szCs w:val="32"/>
        </w:rPr>
        <w:t>概况</w:t>
      </w:r>
      <w:bookmarkEnd w:id="1"/>
      <w:bookmarkEnd w:id="2"/>
      <w:bookmarkEnd w:id="3"/>
      <w:bookmarkEnd w:id="4"/>
      <w:bookmarkEnd w:id="5"/>
      <w:bookmarkEnd w:id="6"/>
    </w:p>
    <w:p w:rsidR="00ED50CC" w:rsidRPr="006452BC" w:rsidRDefault="00145D9F" w:rsidP="00145D9F">
      <w:pPr>
        <w:ind w:firstLine="640"/>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一、</w:t>
      </w:r>
      <w:bookmarkEnd w:id="7"/>
      <w:r w:rsidR="000F3D9D" w:rsidRPr="006452BC">
        <w:rPr>
          <w:rFonts w:asciiTheme="minorEastAsia" w:eastAsiaTheme="minorEastAsia" w:hAnsiTheme="minorEastAsia" w:cs="黑体" w:hint="eastAsia"/>
          <w:sz w:val="32"/>
          <w:szCs w:val="32"/>
        </w:rPr>
        <w:t>单位职责</w:t>
      </w:r>
      <w:bookmarkEnd w:id="8"/>
      <w:bookmarkEnd w:id="9"/>
      <w:bookmarkEnd w:id="10"/>
      <w:bookmarkEnd w:id="11"/>
      <w:bookmarkEnd w:id="12"/>
    </w:p>
    <w:p w:rsidR="00145D9F" w:rsidRPr="006452BC" w:rsidRDefault="00145D9F" w:rsidP="00145D9F">
      <w:pPr>
        <w:ind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从事综合性医疗、急救、疾病预防、保健、康复等医疗卫生工作；承担我省在国家南海海域医疗救援保障基地职责；开展临床医学科研工作；承担省内医学卫生院校临床教学和市县医疗卫生单位卫生技术人员进修培训工作；承办上级主管部门交办的其他工作。</w:t>
      </w:r>
    </w:p>
    <w:p w:rsidR="00ED50CC" w:rsidRPr="006452BC" w:rsidRDefault="000F3D9D">
      <w:pPr>
        <w:ind w:firstLineChars="200" w:firstLine="640"/>
        <w:rPr>
          <w:rFonts w:asciiTheme="minorEastAsia" w:eastAsiaTheme="minorEastAsia" w:hAnsiTheme="minorEastAsia" w:cs="黑体"/>
          <w:sz w:val="32"/>
          <w:szCs w:val="32"/>
        </w:rPr>
      </w:pPr>
      <w:bookmarkStart w:id="13" w:name="_Toc6572_WPSOffice_Level2"/>
      <w:bookmarkStart w:id="14" w:name="_Toc24474_WPSOffice_Level2"/>
      <w:bookmarkStart w:id="15" w:name="_Toc17796_WPSOffice_Level2"/>
      <w:bookmarkStart w:id="16" w:name="_Toc4833_WPSOffice_Level2"/>
      <w:bookmarkStart w:id="17" w:name="_Toc24059_WPSOffice_Level2"/>
      <w:r w:rsidRPr="006452BC">
        <w:rPr>
          <w:rFonts w:asciiTheme="minorEastAsia" w:eastAsiaTheme="minorEastAsia" w:hAnsiTheme="minorEastAsia" w:cs="黑体" w:hint="eastAsia"/>
          <w:sz w:val="32"/>
          <w:szCs w:val="32"/>
        </w:rPr>
        <w:t>二、机构设置</w:t>
      </w:r>
      <w:bookmarkEnd w:id="13"/>
      <w:bookmarkEnd w:id="14"/>
      <w:bookmarkEnd w:id="15"/>
      <w:bookmarkEnd w:id="16"/>
      <w:bookmarkEnd w:id="17"/>
    </w:p>
    <w:p w:rsidR="00ED50CC" w:rsidRPr="006452BC" w:rsidRDefault="00145D9F">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内设14个科级党政管理机构，医疗科室根据服务功能设置。1、医院办公室2、党委办公室3、组织人事科4、医务部5、科教部6、护理部7、财务部8、医学装备部9、总务后勤部10、医疗保险中心11、信息中心12、质量管理部13、安全保卫部14、工会</w:t>
      </w:r>
    </w:p>
    <w:p w:rsidR="00917802" w:rsidRDefault="00917802">
      <w:pPr>
        <w:jc w:val="center"/>
        <w:rPr>
          <w:rFonts w:asciiTheme="minorEastAsia" w:eastAsiaTheme="minorEastAsia" w:hAnsiTheme="minorEastAsia" w:hint="eastAsia"/>
          <w:sz w:val="32"/>
          <w:szCs w:val="32"/>
        </w:rPr>
      </w:pPr>
      <w:bookmarkStart w:id="18" w:name="_Toc30451_WPSOffice_Level1"/>
      <w:bookmarkStart w:id="19" w:name="_Toc8164_WPSOffice_Level1"/>
      <w:bookmarkStart w:id="20" w:name="_Toc15521_WPSOffice_Level1"/>
      <w:bookmarkStart w:id="21" w:name="_Toc6234_WPSOffice_Level1"/>
      <w:bookmarkStart w:id="22" w:name="_Toc30690_WPSOffice_Level1"/>
      <w:bookmarkStart w:id="23" w:name="_Toc28253_WPSOffice_Level1"/>
      <w:bookmarkStart w:id="24" w:name="_Toc8867_WPSOffice_Level2"/>
      <w:bookmarkStart w:id="25" w:name="_Toc6211_WPSOffice_Level2"/>
      <w:bookmarkStart w:id="26" w:name="_Toc32695_WPSOffice_Level2"/>
      <w:bookmarkStart w:id="27" w:name="_Toc32472_WPSOffice_Level2"/>
      <w:bookmarkStart w:id="28" w:name="_Toc11518_WPSOffice_Level2"/>
      <w:bookmarkStart w:id="29" w:name="_Toc4029_WPSOffice_Level2"/>
    </w:p>
    <w:p w:rsidR="00917802" w:rsidRDefault="00917802">
      <w:pPr>
        <w:jc w:val="center"/>
        <w:rPr>
          <w:rFonts w:asciiTheme="minorEastAsia" w:eastAsiaTheme="minorEastAsia" w:hAnsiTheme="minorEastAsia" w:hint="eastAsia"/>
          <w:sz w:val="32"/>
          <w:szCs w:val="32"/>
        </w:rPr>
      </w:pPr>
    </w:p>
    <w:p w:rsidR="00917802" w:rsidRDefault="00917802">
      <w:pPr>
        <w:jc w:val="center"/>
        <w:rPr>
          <w:rFonts w:asciiTheme="minorEastAsia" w:eastAsiaTheme="minorEastAsia" w:hAnsiTheme="minorEastAsia" w:hint="eastAsia"/>
          <w:sz w:val="32"/>
          <w:szCs w:val="32"/>
        </w:rPr>
      </w:pPr>
    </w:p>
    <w:p w:rsidR="00917802" w:rsidRDefault="00917802">
      <w:pPr>
        <w:jc w:val="center"/>
        <w:rPr>
          <w:rFonts w:asciiTheme="minorEastAsia" w:eastAsiaTheme="minorEastAsia" w:hAnsiTheme="minorEastAsia" w:hint="eastAsia"/>
          <w:sz w:val="32"/>
          <w:szCs w:val="32"/>
        </w:rPr>
      </w:pPr>
    </w:p>
    <w:p w:rsidR="00917802" w:rsidRDefault="00917802">
      <w:pPr>
        <w:jc w:val="center"/>
        <w:rPr>
          <w:rFonts w:asciiTheme="minorEastAsia" w:eastAsiaTheme="minorEastAsia" w:hAnsiTheme="minorEastAsia" w:hint="eastAsia"/>
          <w:sz w:val="32"/>
          <w:szCs w:val="32"/>
        </w:rPr>
      </w:pPr>
    </w:p>
    <w:p w:rsidR="00917802" w:rsidRDefault="00917802">
      <w:pPr>
        <w:jc w:val="center"/>
        <w:rPr>
          <w:rFonts w:asciiTheme="minorEastAsia" w:eastAsiaTheme="minorEastAsia" w:hAnsiTheme="minorEastAsia" w:hint="eastAsia"/>
          <w:sz w:val="32"/>
          <w:szCs w:val="32"/>
        </w:rPr>
      </w:pPr>
    </w:p>
    <w:p w:rsidR="00917802" w:rsidRDefault="00917802">
      <w:pPr>
        <w:jc w:val="center"/>
        <w:rPr>
          <w:rFonts w:asciiTheme="minorEastAsia" w:eastAsiaTheme="minorEastAsia" w:hAnsiTheme="minorEastAsia" w:hint="eastAsia"/>
          <w:sz w:val="32"/>
          <w:szCs w:val="32"/>
        </w:rPr>
      </w:pPr>
    </w:p>
    <w:p w:rsidR="00917802" w:rsidRDefault="00917802">
      <w:pPr>
        <w:jc w:val="center"/>
        <w:rPr>
          <w:rFonts w:asciiTheme="minorEastAsia" w:eastAsiaTheme="minorEastAsia" w:hAnsiTheme="minorEastAsia" w:hint="eastAsia"/>
          <w:sz w:val="32"/>
          <w:szCs w:val="32"/>
        </w:rPr>
      </w:pPr>
    </w:p>
    <w:p w:rsidR="00917802" w:rsidRDefault="00917802">
      <w:pPr>
        <w:jc w:val="center"/>
        <w:rPr>
          <w:rFonts w:asciiTheme="minorEastAsia" w:eastAsiaTheme="minorEastAsia" w:hAnsiTheme="minorEastAsia" w:hint="eastAsia"/>
          <w:sz w:val="32"/>
          <w:szCs w:val="32"/>
        </w:rPr>
      </w:pPr>
    </w:p>
    <w:p w:rsidR="00ED50CC" w:rsidRPr="006452BC" w:rsidRDefault="000F3D9D">
      <w:pPr>
        <w:jc w:val="center"/>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lastRenderedPageBreak/>
        <w:t>第二部分  三亚中心医院2020年度部门决算公开报表</w:t>
      </w:r>
      <w:bookmarkEnd w:id="18"/>
      <w:bookmarkEnd w:id="19"/>
      <w:bookmarkEnd w:id="20"/>
      <w:bookmarkEnd w:id="21"/>
      <w:bookmarkEnd w:id="22"/>
      <w:bookmarkEnd w:id="23"/>
    </w:p>
    <w:p w:rsidR="00ED50CC" w:rsidRPr="006452BC" w:rsidRDefault="000F3D9D">
      <w:pPr>
        <w:ind w:firstLine="645"/>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一、收入支出决算公开表（见正文附件）</w:t>
      </w:r>
      <w:bookmarkEnd w:id="24"/>
      <w:bookmarkEnd w:id="25"/>
      <w:bookmarkEnd w:id="26"/>
      <w:r w:rsidRPr="006452BC">
        <w:rPr>
          <w:rFonts w:asciiTheme="minorEastAsia" w:eastAsiaTheme="minorEastAsia" w:hAnsiTheme="minorEastAsia" w:cs="黑体" w:hint="eastAsia"/>
          <w:sz w:val="32"/>
          <w:szCs w:val="32"/>
        </w:rPr>
        <w:t>。</w:t>
      </w:r>
      <w:bookmarkEnd w:id="27"/>
      <w:bookmarkEnd w:id="28"/>
      <w:bookmarkEnd w:id="29"/>
    </w:p>
    <w:p w:rsidR="00ED50CC" w:rsidRPr="006452BC" w:rsidRDefault="000F3D9D">
      <w:pPr>
        <w:ind w:firstLine="645"/>
        <w:rPr>
          <w:rFonts w:asciiTheme="minorEastAsia" w:eastAsiaTheme="minorEastAsia" w:hAnsiTheme="minorEastAsia" w:cs="黑体"/>
          <w:sz w:val="32"/>
          <w:szCs w:val="32"/>
        </w:rPr>
      </w:pPr>
      <w:bookmarkStart w:id="30" w:name="_Toc23139_WPSOffice_Level2"/>
      <w:bookmarkStart w:id="31" w:name="_Toc26621_WPSOffice_Level2"/>
      <w:bookmarkStart w:id="32" w:name="_Toc25608_WPSOffice_Level2"/>
      <w:bookmarkStart w:id="33" w:name="_Toc30334_WPSOffice_Level2"/>
      <w:bookmarkStart w:id="34" w:name="_Toc28622_WPSOffice_Level2"/>
      <w:bookmarkStart w:id="35" w:name="_Toc14349_WPSOffice_Level2"/>
      <w:r w:rsidRPr="006452BC">
        <w:rPr>
          <w:rFonts w:asciiTheme="minorEastAsia" w:eastAsiaTheme="minorEastAsia" w:hAnsiTheme="minorEastAsia" w:cs="黑体" w:hint="eastAsia"/>
          <w:sz w:val="32"/>
          <w:szCs w:val="32"/>
        </w:rPr>
        <w:t>二、收入决算公开表（见正文附件）</w:t>
      </w:r>
      <w:bookmarkEnd w:id="30"/>
      <w:bookmarkEnd w:id="31"/>
      <w:bookmarkEnd w:id="32"/>
      <w:r w:rsidRPr="006452BC">
        <w:rPr>
          <w:rFonts w:asciiTheme="minorEastAsia" w:eastAsiaTheme="minorEastAsia" w:hAnsiTheme="minorEastAsia" w:cs="黑体" w:hint="eastAsia"/>
          <w:sz w:val="32"/>
          <w:szCs w:val="32"/>
        </w:rPr>
        <w:t>。</w:t>
      </w:r>
      <w:bookmarkEnd w:id="33"/>
      <w:bookmarkEnd w:id="34"/>
      <w:bookmarkEnd w:id="35"/>
    </w:p>
    <w:p w:rsidR="00ED50CC" w:rsidRPr="006452BC" w:rsidRDefault="000F3D9D">
      <w:pPr>
        <w:ind w:firstLine="645"/>
        <w:rPr>
          <w:rFonts w:asciiTheme="minorEastAsia" w:eastAsiaTheme="minorEastAsia" w:hAnsiTheme="minorEastAsia" w:cs="黑体"/>
          <w:sz w:val="32"/>
          <w:szCs w:val="32"/>
        </w:rPr>
      </w:pPr>
      <w:bookmarkStart w:id="36" w:name="_Toc3262_WPSOffice_Level2"/>
      <w:bookmarkStart w:id="37" w:name="_Toc17626_WPSOffice_Level2"/>
      <w:bookmarkStart w:id="38" w:name="_Toc17858_WPSOffice_Level2"/>
      <w:bookmarkStart w:id="39" w:name="_Toc5489_WPSOffice_Level2"/>
      <w:bookmarkStart w:id="40" w:name="_Toc13854_WPSOffice_Level2"/>
      <w:bookmarkStart w:id="41" w:name="_Toc14658_WPSOffice_Level2"/>
      <w:r w:rsidRPr="006452BC">
        <w:rPr>
          <w:rFonts w:asciiTheme="minorEastAsia" w:eastAsiaTheme="minorEastAsia" w:hAnsiTheme="minorEastAsia" w:cs="黑体" w:hint="eastAsia"/>
          <w:sz w:val="32"/>
          <w:szCs w:val="32"/>
        </w:rPr>
        <w:t>三、支出决算公开表（见正文附件）</w:t>
      </w:r>
      <w:bookmarkEnd w:id="36"/>
      <w:bookmarkEnd w:id="37"/>
      <w:bookmarkEnd w:id="38"/>
      <w:r w:rsidRPr="006452BC">
        <w:rPr>
          <w:rFonts w:asciiTheme="minorEastAsia" w:eastAsiaTheme="minorEastAsia" w:hAnsiTheme="minorEastAsia" w:cs="黑体" w:hint="eastAsia"/>
          <w:sz w:val="32"/>
          <w:szCs w:val="32"/>
        </w:rPr>
        <w:t>。</w:t>
      </w:r>
      <w:bookmarkEnd w:id="39"/>
      <w:bookmarkEnd w:id="40"/>
      <w:bookmarkEnd w:id="41"/>
    </w:p>
    <w:p w:rsidR="00ED50CC" w:rsidRPr="006452BC" w:rsidRDefault="000F3D9D">
      <w:pPr>
        <w:ind w:firstLine="645"/>
        <w:rPr>
          <w:rFonts w:asciiTheme="minorEastAsia" w:eastAsiaTheme="minorEastAsia" w:hAnsiTheme="minorEastAsia" w:cs="黑体"/>
          <w:sz w:val="32"/>
          <w:szCs w:val="32"/>
        </w:rPr>
      </w:pPr>
      <w:bookmarkStart w:id="42" w:name="_Toc13701_WPSOffice_Level2"/>
      <w:bookmarkStart w:id="43" w:name="_Toc21415_WPSOffice_Level2"/>
      <w:bookmarkStart w:id="44" w:name="_Toc23591_WPSOffice_Level2"/>
      <w:bookmarkStart w:id="45" w:name="_Toc23493_WPSOffice_Level2"/>
      <w:bookmarkStart w:id="46" w:name="_Toc7988_WPSOffice_Level2"/>
      <w:bookmarkStart w:id="47" w:name="_Toc4265_WPSOffice_Level2"/>
      <w:r w:rsidRPr="006452BC">
        <w:rPr>
          <w:rFonts w:asciiTheme="minorEastAsia" w:eastAsiaTheme="minorEastAsia" w:hAnsiTheme="minorEastAsia" w:cs="黑体" w:hint="eastAsia"/>
          <w:sz w:val="32"/>
          <w:szCs w:val="32"/>
        </w:rPr>
        <w:t>四、财政拨款收入支出决算公开表（见正文附件）</w:t>
      </w:r>
      <w:bookmarkEnd w:id="42"/>
      <w:bookmarkEnd w:id="43"/>
      <w:bookmarkEnd w:id="44"/>
      <w:r w:rsidRPr="006452BC">
        <w:rPr>
          <w:rFonts w:asciiTheme="minorEastAsia" w:eastAsiaTheme="minorEastAsia" w:hAnsiTheme="minorEastAsia" w:cs="黑体" w:hint="eastAsia"/>
          <w:sz w:val="32"/>
          <w:szCs w:val="32"/>
        </w:rPr>
        <w:t>。</w:t>
      </w:r>
      <w:bookmarkEnd w:id="45"/>
      <w:bookmarkEnd w:id="46"/>
      <w:bookmarkEnd w:id="47"/>
    </w:p>
    <w:p w:rsidR="00ED50CC" w:rsidRPr="006452BC" w:rsidRDefault="000F3D9D">
      <w:pPr>
        <w:ind w:firstLine="645"/>
        <w:rPr>
          <w:rFonts w:asciiTheme="minorEastAsia" w:eastAsiaTheme="minorEastAsia" w:hAnsiTheme="minorEastAsia" w:cs="黑体"/>
          <w:sz w:val="32"/>
          <w:szCs w:val="32"/>
        </w:rPr>
      </w:pPr>
      <w:bookmarkStart w:id="48" w:name="_Toc25166_WPSOffice_Level2"/>
      <w:bookmarkStart w:id="49" w:name="_Toc22783_WPSOffice_Level2"/>
      <w:bookmarkStart w:id="50" w:name="_Toc23829_WPSOffice_Level2"/>
      <w:bookmarkStart w:id="51" w:name="_Toc7879_WPSOffice_Level2"/>
      <w:bookmarkStart w:id="52" w:name="_Toc2158_WPSOffice_Level2"/>
      <w:bookmarkStart w:id="53" w:name="_Toc13516_WPSOffice_Level2"/>
      <w:r w:rsidRPr="006452BC">
        <w:rPr>
          <w:rFonts w:asciiTheme="minorEastAsia" w:eastAsiaTheme="minorEastAsia" w:hAnsiTheme="minorEastAsia" w:cs="黑体" w:hint="eastAsia"/>
          <w:sz w:val="32"/>
          <w:szCs w:val="32"/>
        </w:rPr>
        <w:t>五、一般公共预算财政拨款收入支出决算</w:t>
      </w:r>
      <w:bookmarkEnd w:id="48"/>
      <w:bookmarkEnd w:id="49"/>
      <w:bookmarkEnd w:id="50"/>
      <w:bookmarkEnd w:id="51"/>
      <w:r w:rsidRPr="006452BC">
        <w:rPr>
          <w:rFonts w:asciiTheme="minorEastAsia" w:eastAsiaTheme="minorEastAsia" w:hAnsiTheme="minorEastAsia" w:cs="黑体" w:hint="eastAsia"/>
          <w:sz w:val="32"/>
          <w:szCs w:val="32"/>
        </w:rPr>
        <w:t>公开表</w:t>
      </w:r>
    </w:p>
    <w:p w:rsidR="00ED50CC" w:rsidRPr="006452BC" w:rsidRDefault="000F3D9D">
      <w:pPr>
        <w:ind w:firstLineChars="407" w:firstLine="1302"/>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（见正文附件）</w:t>
      </w:r>
      <w:bookmarkEnd w:id="52"/>
      <w:bookmarkEnd w:id="53"/>
      <w:r w:rsidRPr="006452BC">
        <w:rPr>
          <w:rFonts w:asciiTheme="minorEastAsia" w:eastAsiaTheme="minorEastAsia" w:hAnsiTheme="minorEastAsia" w:cs="黑体" w:hint="eastAsia"/>
          <w:sz w:val="32"/>
          <w:szCs w:val="32"/>
        </w:rPr>
        <w:t>。</w:t>
      </w:r>
    </w:p>
    <w:p w:rsidR="00ED50CC" w:rsidRPr="006452BC" w:rsidRDefault="000F3D9D">
      <w:pPr>
        <w:ind w:firstLine="645"/>
        <w:rPr>
          <w:rFonts w:asciiTheme="minorEastAsia" w:eastAsiaTheme="minorEastAsia" w:hAnsiTheme="minorEastAsia" w:cs="黑体"/>
          <w:sz w:val="32"/>
          <w:szCs w:val="32"/>
        </w:rPr>
      </w:pPr>
      <w:bookmarkStart w:id="54" w:name="_Toc2632_WPSOffice_Level2"/>
      <w:bookmarkStart w:id="55" w:name="_Toc25362_WPSOffice_Level2"/>
      <w:bookmarkStart w:id="56" w:name="_Toc17283_WPSOffice_Level2"/>
      <w:bookmarkStart w:id="57" w:name="_Toc17833_WPSOffice_Level2"/>
      <w:bookmarkStart w:id="58" w:name="_Toc5343_WPSOffice_Level2"/>
      <w:bookmarkStart w:id="59" w:name="_Toc8373_WPSOffice_Level2"/>
      <w:r w:rsidRPr="006452BC">
        <w:rPr>
          <w:rFonts w:asciiTheme="minorEastAsia" w:eastAsiaTheme="minorEastAsia" w:hAnsiTheme="minorEastAsia" w:cs="黑体" w:hint="eastAsia"/>
          <w:sz w:val="32"/>
          <w:szCs w:val="32"/>
        </w:rPr>
        <w:t>六、一般公共预算财政拨款基本支出决算</w:t>
      </w:r>
      <w:bookmarkEnd w:id="54"/>
      <w:bookmarkEnd w:id="55"/>
      <w:bookmarkEnd w:id="56"/>
      <w:bookmarkEnd w:id="57"/>
      <w:bookmarkEnd w:id="58"/>
      <w:bookmarkEnd w:id="59"/>
      <w:r w:rsidRPr="006452BC">
        <w:rPr>
          <w:rFonts w:asciiTheme="minorEastAsia" w:eastAsiaTheme="minorEastAsia" w:hAnsiTheme="minorEastAsia" w:cs="黑体" w:hint="eastAsia"/>
          <w:sz w:val="32"/>
          <w:szCs w:val="32"/>
        </w:rPr>
        <w:t>公开表</w:t>
      </w:r>
    </w:p>
    <w:p w:rsidR="00ED50CC" w:rsidRPr="006452BC" w:rsidRDefault="000F3D9D">
      <w:pPr>
        <w:ind w:firstLineChars="400" w:firstLine="1280"/>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（见正文附件）。</w:t>
      </w:r>
    </w:p>
    <w:p w:rsidR="00ED50CC" w:rsidRPr="006452BC" w:rsidRDefault="000F3D9D">
      <w:pPr>
        <w:ind w:leftChars="304" w:left="1118" w:hangingChars="150" w:hanging="480"/>
        <w:rPr>
          <w:rFonts w:asciiTheme="minorEastAsia" w:eastAsiaTheme="minorEastAsia" w:hAnsiTheme="minorEastAsia" w:cs="黑体"/>
          <w:sz w:val="32"/>
          <w:szCs w:val="32"/>
        </w:rPr>
      </w:pPr>
      <w:bookmarkStart w:id="60" w:name="_Toc11799_WPSOffice_Level2"/>
      <w:bookmarkStart w:id="61" w:name="_Toc13345_WPSOffice_Level2"/>
      <w:bookmarkStart w:id="62" w:name="_Toc5594_WPSOffice_Level2"/>
      <w:bookmarkStart w:id="63" w:name="_Toc1533_WPSOffice_Level2"/>
      <w:bookmarkStart w:id="64" w:name="_Toc6020_WPSOffice_Level2"/>
      <w:bookmarkStart w:id="65" w:name="_Toc21310_WPSOffice_Level2"/>
      <w:r w:rsidRPr="006452BC">
        <w:rPr>
          <w:rFonts w:asciiTheme="minorEastAsia" w:eastAsiaTheme="minorEastAsia" w:hAnsiTheme="minorEastAsia" w:cs="黑体" w:hint="eastAsia"/>
          <w:sz w:val="32"/>
          <w:szCs w:val="32"/>
        </w:rPr>
        <w:t>七、政府性基金预算财政拨款收入支出决算</w:t>
      </w:r>
      <w:bookmarkEnd w:id="60"/>
      <w:bookmarkEnd w:id="61"/>
      <w:bookmarkEnd w:id="62"/>
      <w:bookmarkEnd w:id="63"/>
      <w:bookmarkEnd w:id="64"/>
      <w:bookmarkEnd w:id="65"/>
      <w:r w:rsidRPr="006452BC">
        <w:rPr>
          <w:rFonts w:asciiTheme="minorEastAsia" w:eastAsiaTheme="minorEastAsia" w:hAnsiTheme="minorEastAsia" w:cs="黑体" w:hint="eastAsia"/>
          <w:sz w:val="32"/>
          <w:szCs w:val="32"/>
        </w:rPr>
        <w:t>公开表</w:t>
      </w:r>
    </w:p>
    <w:p w:rsidR="00ED50CC" w:rsidRPr="006452BC" w:rsidRDefault="000F3D9D">
      <w:pPr>
        <w:ind w:leftChars="608" w:left="1277" w:firstLineChars="50" w:firstLine="160"/>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（见正文附件）。</w:t>
      </w:r>
    </w:p>
    <w:p w:rsidR="00ED50CC" w:rsidRPr="006452BC" w:rsidRDefault="000F3D9D">
      <w:pPr>
        <w:ind w:leftChars="304" w:left="1118" w:hangingChars="150" w:hanging="480"/>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八、国有资本经营预算财政拨款收入支出决算公开表</w:t>
      </w:r>
    </w:p>
    <w:p w:rsidR="00ED50CC" w:rsidRPr="006452BC" w:rsidRDefault="000F3D9D">
      <w:pPr>
        <w:ind w:leftChars="608" w:left="1277" w:firstLineChars="50" w:firstLine="160"/>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（见正文附件）。</w:t>
      </w:r>
    </w:p>
    <w:p w:rsidR="00ED50CC" w:rsidRPr="006452BC" w:rsidRDefault="000F3D9D">
      <w:pPr>
        <w:rPr>
          <w:rFonts w:asciiTheme="minorEastAsia" w:eastAsiaTheme="minorEastAsia" w:hAnsiTheme="minorEastAsia" w:cs="黑体"/>
          <w:sz w:val="32"/>
          <w:szCs w:val="32"/>
        </w:rPr>
      </w:pPr>
      <w:bookmarkStart w:id="66" w:name="_Toc9377_WPSOffice_Level2"/>
      <w:bookmarkStart w:id="67" w:name="_Toc29886_WPSOffice_Level2"/>
      <w:bookmarkStart w:id="68" w:name="_Toc19961_WPSOffice_Level2"/>
      <w:bookmarkStart w:id="69" w:name="_Toc1820_WPSOffice_Level2"/>
      <w:r w:rsidRPr="006452BC">
        <w:rPr>
          <w:rFonts w:asciiTheme="minorEastAsia" w:eastAsiaTheme="minorEastAsia" w:hAnsiTheme="minorEastAsia" w:cs="黑体" w:hint="eastAsia"/>
          <w:sz w:val="32"/>
          <w:szCs w:val="32"/>
        </w:rPr>
        <w:t xml:space="preserve">    九、一般公共预算财政拨款“三公”经费支出决算</w:t>
      </w:r>
    </w:p>
    <w:bookmarkEnd w:id="66"/>
    <w:bookmarkEnd w:id="67"/>
    <w:bookmarkEnd w:id="68"/>
    <w:bookmarkEnd w:id="69"/>
    <w:p w:rsidR="00ED50CC" w:rsidRPr="006452BC" w:rsidRDefault="000F3D9D">
      <w:pPr>
        <w:rPr>
          <w:rFonts w:asciiTheme="minorEastAsia" w:eastAsiaTheme="minorEastAsia" w:hAnsiTheme="minorEastAsia" w:cs="黑体"/>
          <w:sz w:val="32"/>
          <w:szCs w:val="32"/>
        </w:rPr>
      </w:pPr>
      <w:r w:rsidRPr="006452BC">
        <w:rPr>
          <w:rFonts w:asciiTheme="minorEastAsia" w:eastAsiaTheme="minorEastAsia" w:hAnsiTheme="minorEastAsia" w:cs="黑体" w:hint="eastAsia"/>
          <w:sz w:val="32"/>
          <w:szCs w:val="32"/>
        </w:rPr>
        <w:t>公开表（见正文附件）。</w:t>
      </w:r>
    </w:p>
    <w:p w:rsidR="00ED50CC" w:rsidRPr="006452BC" w:rsidRDefault="000F3D9D">
      <w:pPr>
        <w:rPr>
          <w:rFonts w:asciiTheme="minorEastAsia" w:eastAsiaTheme="minorEastAsia" w:hAnsiTheme="minorEastAsia" w:cs="黑体"/>
          <w:w w:val="96"/>
          <w:sz w:val="32"/>
          <w:szCs w:val="32"/>
        </w:rPr>
      </w:pPr>
      <w:r w:rsidRPr="006452BC">
        <w:rPr>
          <w:rFonts w:asciiTheme="minorEastAsia" w:eastAsiaTheme="minorEastAsia" w:hAnsiTheme="minorEastAsia" w:cs="黑体" w:hint="eastAsia"/>
          <w:w w:val="96"/>
          <w:sz w:val="32"/>
          <w:szCs w:val="32"/>
        </w:rPr>
        <w:t xml:space="preserve">    十、政府性基金预算财政拨款“三公”经费支出决算</w:t>
      </w:r>
    </w:p>
    <w:p w:rsidR="00ED50CC" w:rsidRPr="006452BC" w:rsidRDefault="000F3D9D">
      <w:pPr>
        <w:rPr>
          <w:rFonts w:asciiTheme="minorEastAsia" w:eastAsiaTheme="minorEastAsia" w:hAnsiTheme="minorEastAsia" w:cs="黑体"/>
          <w:sz w:val="32"/>
          <w:szCs w:val="32"/>
        </w:rPr>
      </w:pPr>
      <w:r w:rsidRPr="006452BC">
        <w:rPr>
          <w:rFonts w:asciiTheme="minorEastAsia" w:eastAsiaTheme="minorEastAsia" w:hAnsiTheme="minorEastAsia" w:cs="黑体" w:hint="eastAsia"/>
          <w:w w:val="96"/>
          <w:sz w:val="32"/>
          <w:szCs w:val="32"/>
        </w:rPr>
        <w:t xml:space="preserve">          公开表</w:t>
      </w:r>
      <w:r w:rsidRPr="006452BC">
        <w:rPr>
          <w:rFonts w:asciiTheme="minorEastAsia" w:eastAsiaTheme="minorEastAsia" w:hAnsiTheme="minorEastAsia" w:cs="黑体" w:hint="eastAsia"/>
          <w:sz w:val="32"/>
          <w:szCs w:val="32"/>
        </w:rPr>
        <w:t>（见正文附件）。</w:t>
      </w:r>
    </w:p>
    <w:p w:rsidR="00ED50CC" w:rsidRPr="006452BC" w:rsidRDefault="000F3D9D">
      <w:pPr>
        <w:rPr>
          <w:rFonts w:asciiTheme="minorEastAsia" w:eastAsiaTheme="minorEastAsia" w:hAnsiTheme="minorEastAsia" w:cs="黑体"/>
          <w:w w:val="96"/>
          <w:sz w:val="32"/>
          <w:szCs w:val="32"/>
        </w:rPr>
      </w:pPr>
      <w:r w:rsidRPr="006452BC">
        <w:rPr>
          <w:rFonts w:asciiTheme="minorEastAsia" w:eastAsiaTheme="minorEastAsia" w:hAnsiTheme="minorEastAsia" w:cs="黑体" w:hint="eastAsia"/>
          <w:w w:val="96"/>
          <w:sz w:val="32"/>
          <w:szCs w:val="32"/>
        </w:rPr>
        <w:t xml:space="preserve">    十一、国有资本经营预算财政拨款“三公”经费支出决算</w:t>
      </w:r>
    </w:p>
    <w:p w:rsidR="00ED50CC" w:rsidRDefault="000F3D9D">
      <w:pPr>
        <w:rPr>
          <w:rFonts w:asciiTheme="minorEastAsia" w:eastAsiaTheme="minorEastAsia" w:hAnsiTheme="minorEastAsia" w:cs="黑体"/>
          <w:sz w:val="32"/>
          <w:szCs w:val="32"/>
        </w:rPr>
      </w:pPr>
      <w:r w:rsidRPr="006452BC">
        <w:rPr>
          <w:rFonts w:asciiTheme="minorEastAsia" w:eastAsiaTheme="minorEastAsia" w:hAnsiTheme="minorEastAsia" w:cs="黑体" w:hint="eastAsia"/>
          <w:w w:val="96"/>
          <w:sz w:val="32"/>
          <w:szCs w:val="32"/>
        </w:rPr>
        <w:t xml:space="preserve">          公开表</w:t>
      </w:r>
      <w:r w:rsidRPr="006452BC">
        <w:rPr>
          <w:rFonts w:asciiTheme="minorEastAsia" w:eastAsiaTheme="minorEastAsia" w:hAnsiTheme="minorEastAsia" w:cs="黑体" w:hint="eastAsia"/>
          <w:sz w:val="32"/>
          <w:szCs w:val="32"/>
        </w:rPr>
        <w:t>（见正文附件）。</w:t>
      </w:r>
    </w:p>
    <w:p w:rsidR="00561BB4" w:rsidRDefault="00561BB4">
      <w:pPr>
        <w:rPr>
          <w:rFonts w:asciiTheme="minorEastAsia" w:eastAsiaTheme="minorEastAsia" w:hAnsiTheme="minorEastAsia" w:cs="黑体" w:hint="eastAsia"/>
          <w:sz w:val="32"/>
          <w:szCs w:val="32"/>
        </w:rPr>
      </w:pPr>
    </w:p>
    <w:p w:rsidR="00917802" w:rsidRDefault="00917802">
      <w:pPr>
        <w:rPr>
          <w:rFonts w:asciiTheme="minorEastAsia" w:eastAsiaTheme="minorEastAsia" w:hAnsiTheme="minorEastAsia" w:cs="黑体" w:hint="eastAsia"/>
          <w:sz w:val="32"/>
          <w:szCs w:val="32"/>
        </w:rPr>
      </w:pPr>
    </w:p>
    <w:p w:rsidR="00917802" w:rsidRPr="006452BC" w:rsidRDefault="00917802">
      <w:pPr>
        <w:rPr>
          <w:rFonts w:asciiTheme="minorEastAsia" w:eastAsiaTheme="minorEastAsia" w:hAnsiTheme="minorEastAsia" w:cs="黑体"/>
          <w:sz w:val="32"/>
          <w:szCs w:val="32"/>
        </w:rPr>
      </w:pPr>
    </w:p>
    <w:p w:rsidR="00ED50CC" w:rsidRPr="006452BC" w:rsidRDefault="000F3D9D" w:rsidP="006C7D5E">
      <w:pPr>
        <w:jc w:val="center"/>
        <w:rPr>
          <w:rFonts w:asciiTheme="minorEastAsia" w:eastAsiaTheme="minorEastAsia" w:hAnsiTheme="minorEastAsia"/>
          <w:sz w:val="32"/>
          <w:szCs w:val="32"/>
        </w:rPr>
      </w:pPr>
      <w:bookmarkStart w:id="70" w:name="_Toc29683_WPSOffice_Level1"/>
      <w:bookmarkStart w:id="71" w:name="_Toc16686_WPSOffice_Level1"/>
      <w:bookmarkStart w:id="72" w:name="_Toc28629_WPSOffice_Level1"/>
      <w:bookmarkStart w:id="73" w:name="_Toc4402_WPSOffice_Level1"/>
      <w:bookmarkStart w:id="74" w:name="_Toc31264_WPSOffice_Level1"/>
      <w:bookmarkStart w:id="75" w:name="_Toc27590_WPSOffice_Level1"/>
      <w:r w:rsidRPr="006452BC">
        <w:rPr>
          <w:rFonts w:asciiTheme="minorEastAsia" w:eastAsiaTheme="minorEastAsia" w:hAnsiTheme="minorEastAsia" w:hint="eastAsia"/>
          <w:sz w:val="32"/>
          <w:szCs w:val="32"/>
        </w:rPr>
        <w:lastRenderedPageBreak/>
        <w:t>第三部分  三亚中心医院2020年度部门决算情况说明</w:t>
      </w:r>
      <w:bookmarkEnd w:id="70"/>
      <w:bookmarkEnd w:id="71"/>
      <w:bookmarkEnd w:id="72"/>
      <w:bookmarkEnd w:id="73"/>
      <w:bookmarkEnd w:id="74"/>
      <w:bookmarkEnd w:id="75"/>
    </w:p>
    <w:p w:rsidR="00FF2F46" w:rsidRDefault="000F3D9D" w:rsidP="009B40AD">
      <w:pPr>
        <w:ind w:firstLineChars="200" w:firstLine="643"/>
        <w:rPr>
          <w:rFonts w:asciiTheme="minorEastAsia" w:eastAsiaTheme="minorEastAsia" w:hAnsiTheme="minorEastAsia"/>
          <w:sz w:val="32"/>
          <w:szCs w:val="32"/>
        </w:rPr>
      </w:pPr>
      <w:r w:rsidRPr="009B40AD">
        <w:rPr>
          <w:rFonts w:asciiTheme="minorEastAsia" w:eastAsiaTheme="minorEastAsia" w:hAnsiTheme="minorEastAsia" w:cs="黑体" w:hint="eastAsia"/>
          <w:b/>
          <w:bCs/>
          <w:sz w:val="32"/>
          <w:szCs w:val="32"/>
        </w:rPr>
        <w:t>一、收入支出决算总体情况说明</w:t>
      </w:r>
      <w:r w:rsidRPr="006452BC">
        <w:rPr>
          <w:rFonts w:asciiTheme="minorEastAsia" w:eastAsiaTheme="minorEastAsia" w:hAnsiTheme="minorEastAsia" w:cs="黑体" w:hint="eastAsia"/>
          <w:bCs/>
          <w:sz w:val="32"/>
          <w:szCs w:val="32"/>
        </w:rPr>
        <w:br/>
      </w:r>
      <w:r w:rsidRPr="006452BC">
        <w:rPr>
          <w:rFonts w:asciiTheme="minorEastAsia" w:eastAsiaTheme="minorEastAsia" w:hAnsiTheme="minorEastAsia" w:hint="eastAsia"/>
          <w:sz w:val="32"/>
          <w:szCs w:val="32"/>
        </w:rPr>
        <w:t>2020年度收入总计113852.34万元，与2019年度相比，收入总计增加</w:t>
      </w:r>
      <w:r w:rsidR="00193017" w:rsidRPr="006452BC">
        <w:rPr>
          <w:rFonts w:asciiTheme="minorEastAsia" w:eastAsiaTheme="minorEastAsia" w:hAnsiTheme="minorEastAsia" w:hint="eastAsia"/>
          <w:sz w:val="32"/>
          <w:szCs w:val="32"/>
        </w:rPr>
        <w:t>3473.89</w:t>
      </w:r>
      <w:r w:rsidRPr="006452BC">
        <w:rPr>
          <w:rFonts w:asciiTheme="minorEastAsia" w:eastAsiaTheme="minorEastAsia" w:hAnsiTheme="minorEastAsia" w:hint="eastAsia"/>
          <w:sz w:val="32"/>
          <w:szCs w:val="32"/>
        </w:rPr>
        <w:t>万元，增长3.</w:t>
      </w:r>
      <w:r w:rsidR="00193017" w:rsidRPr="006452BC">
        <w:rPr>
          <w:rFonts w:asciiTheme="minorEastAsia" w:eastAsiaTheme="minorEastAsia" w:hAnsiTheme="minorEastAsia" w:hint="eastAsia"/>
          <w:sz w:val="32"/>
          <w:szCs w:val="32"/>
        </w:rPr>
        <w:t>15</w:t>
      </w:r>
      <w:r w:rsidRPr="006452BC">
        <w:rPr>
          <w:rFonts w:asciiTheme="minorEastAsia" w:eastAsiaTheme="minorEastAsia" w:hAnsiTheme="minorEastAsia" w:hint="eastAsia"/>
          <w:sz w:val="32"/>
          <w:szCs w:val="32"/>
        </w:rPr>
        <w:t>%。主要原因：一是一般公共预算财政拨款收入增加3695.69万元；二是政府性基金预算财政拨款收入增加了8000万；</w:t>
      </w:r>
      <w:r w:rsidR="00193017" w:rsidRPr="006452BC">
        <w:rPr>
          <w:rFonts w:asciiTheme="minorEastAsia" w:eastAsiaTheme="minorEastAsia" w:hAnsiTheme="minorEastAsia" w:hint="eastAsia"/>
          <w:sz w:val="32"/>
          <w:szCs w:val="32"/>
        </w:rPr>
        <w:t>但是由于2020年新冠肺炎疫情影响，2020年单位事业收入减少8250.43万元。</w:t>
      </w:r>
    </w:p>
    <w:p w:rsidR="00FF2F46" w:rsidRDefault="000F3D9D" w:rsidP="00B46DD3">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年初结转结余901.27万元，主要是一般公共预算财政拨款23个跨年度使用项目经费结余，主要有住院医师规范化培训经费305万元、社会心理体系建设试点项目经费169.49万元、脑卒中筛查项目经费86.86万元、临床重点专科建设经费60.03万元、医疗设备采购经费81.17万元等，市级基本公共卫生经费等198.72万元。</w:t>
      </w:r>
    </w:p>
    <w:p w:rsidR="00FF2F46" w:rsidRDefault="00193017" w:rsidP="00B46DD3">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年初结转结余</w:t>
      </w:r>
      <w:r w:rsidR="000F3D9D" w:rsidRPr="006452BC">
        <w:rPr>
          <w:rFonts w:asciiTheme="minorEastAsia" w:eastAsiaTheme="minorEastAsia" w:hAnsiTheme="minorEastAsia" w:hint="eastAsia"/>
          <w:sz w:val="32"/>
          <w:szCs w:val="32"/>
        </w:rPr>
        <w:t>较2019年度决算数增加363.89万元，增长67.72%，主要原因是部分经费为跨年度使用经费。</w:t>
      </w:r>
    </w:p>
    <w:p w:rsidR="00561BB4" w:rsidRPr="00444E42" w:rsidRDefault="000F3D9D" w:rsidP="00FF2F46">
      <w:pPr>
        <w:ind w:firstLineChars="200" w:firstLine="640"/>
        <w:rPr>
          <w:rFonts w:asciiTheme="minorEastAsia" w:eastAsiaTheme="minorEastAsia" w:hAnsiTheme="minorEastAsia"/>
          <w:color w:val="FF0000"/>
          <w:sz w:val="32"/>
          <w:szCs w:val="32"/>
        </w:rPr>
      </w:pPr>
      <w:r w:rsidRPr="006452BC">
        <w:rPr>
          <w:rFonts w:asciiTheme="minorEastAsia" w:eastAsiaTheme="minorEastAsia" w:hAnsiTheme="minorEastAsia" w:hint="eastAsia"/>
          <w:sz w:val="32"/>
          <w:szCs w:val="32"/>
        </w:rPr>
        <w:t>年末结转结余4452.88</w:t>
      </w:r>
      <w:r w:rsidR="00193017" w:rsidRPr="006452BC">
        <w:rPr>
          <w:rFonts w:asciiTheme="minorEastAsia" w:eastAsiaTheme="minorEastAsia" w:hAnsiTheme="minorEastAsia" w:hint="eastAsia"/>
          <w:sz w:val="32"/>
          <w:szCs w:val="32"/>
        </w:rPr>
        <w:t>万元，主要</w:t>
      </w:r>
      <w:r w:rsidR="00444E42">
        <w:rPr>
          <w:rFonts w:asciiTheme="minorEastAsia" w:eastAsiaTheme="minorEastAsia" w:hAnsiTheme="minorEastAsia" w:hint="eastAsia"/>
          <w:sz w:val="32"/>
          <w:szCs w:val="32"/>
        </w:rPr>
        <w:t>原因</w:t>
      </w:r>
      <w:r w:rsidR="00193017" w:rsidRPr="006452BC">
        <w:rPr>
          <w:rFonts w:asciiTheme="minorEastAsia" w:eastAsiaTheme="minorEastAsia" w:hAnsiTheme="minorEastAsia" w:hint="eastAsia"/>
          <w:sz w:val="32"/>
          <w:szCs w:val="32"/>
        </w:rPr>
        <w:t>是</w:t>
      </w:r>
      <w:r w:rsidRPr="006452BC">
        <w:rPr>
          <w:rFonts w:asciiTheme="minorEastAsia" w:eastAsiaTheme="minorEastAsia" w:hAnsiTheme="minorEastAsia" w:hint="eastAsia"/>
          <w:sz w:val="32"/>
          <w:szCs w:val="32"/>
        </w:rPr>
        <w:t>一般公共预算财政</w:t>
      </w:r>
      <w:bookmarkStart w:id="76" w:name="_GoBack"/>
      <w:bookmarkEnd w:id="76"/>
      <w:r w:rsidRPr="006452BC">
        <w:rPr>
          <w:rFonts w:asciiTheme="minorEastAsia" w:eastAsiaTheme="minorEastAsia" w:hAnsiTheme="minorEastAsia" w:hint="eastAsia"/>
          <w:sz w:val="32"/>
          <w:szCs w:val="32"/>
        </w:rPr>
        <w:t>拨款18个跨年度使用项目经费结余738.40万元，政府性基金预算—门诊大楼建设项目经费结余3714.48万元</w:t>
      </w:r>
      <w:r w:rsidR="006F24D6">
        <w:rPr>
          <w:rFonts w:asciiTheme="minorEastAsia" w:eastAsiaTheme="minorEastAsia" w:hAnsiTheme="minorEastAsia" w:hint="eastAsia"/>
          <w:sz w:val="32"/>
          <w:szCs w:val="32"/>
        </w:rPr>
        <w:t>.</w:t>
      </w:r>
    </w:p>
    <w:p w:rsidR="00E75B20" w:rsidRPr="006452BC" w:rsidRDefault="00E75B20" w:rsidP="009B40AD">
      <w:pPr>
        <w:ind w:firstLineChars="200" w:firstLine="643"/>
        <w:rPr>
          <w:rFonts w:asciiTheme="minorEastAsia" w:eastAsiaTheme="minorEastAsia" w:hAnsiTheme="minorEastAsia"/>
          <w:sz w:val="32"/>
          <w:szCs w:val="32"/>
        </w:rPr>
      </w:pPr>
      <w:r w:rsidRPr="009B40AD">
        <w:rPr>
          <w:rFonts w:asciiTheme="minorEastAsia" w:eastAsiaTheme="minorEastAsia" w:hAnsiTheme="minorEastAsia" w:cs="黑体" w:hint="eastAsia"/>
          <w:b/>
          <w:bCs/>
          <w:sz w:val="32"/>
          <w:szCs w:val="32"/>
        </w:rPr>
        <w:t>二、收入决算情况说明</w:t>
      </w:r>
      <w:r w:rsidRPr="006452BC">
        <w:rPr>
          <w:rFonts w:asciiTheme="minorEastAsia" w:eastAsiaTheme="minorEastAsia" w:hAnsiTheme="minorEastAsia" w:cs="黑体" w:hint="eastAsia"/>
          <w:bCs/>
          <w:sz w:val="32"/>
          <w:szCs w:val="32"/>
        </w:rPr>
        <w:br/>
      </w:r>
      <w:r w:rsidRPr="006452BC">
        <w:rPr>
          <w:rFonts w:asciiTheme="minorEastAsia" w:eastAsiaTheme="minorEastAsia" w:hAnsiTheme="minorEastAsia" w:hint="eastAsia"/>
          <w:sz w:val="32"/>
          <w:szCs w:val="32"/>
        </w:rPr>
        <w:t xml:space="preserve">    本年收入合计112951.08万元，其中：财政拨款收入28867.42万元，占2</w:t>
      </w:r>
      <w:r w:rsidR="00CF141B">
        <w:rPr>
          <w:rFonts w:asciiTheme="minorEastAsia" w:eastAsiaTheme="minorEastAsia" w:hAnsiTheme="minorEastAsia" w:hint="eastAsia"/>
          <w:sz w:val="32"/>
          <w:szCs w:val="32"/>
        </w:rPr>
        <w:t>5.56</w:t>
      </w:r>
      <w:r w:rsidRPr="006452BC">
        <w:rPr>
          <w:rFonts w:asciiTheme="minorEastAsia" w:eastAsiaTheme="minorEastAsia" w:hAnsiTheme="minorEastAsia" w:hint="eastAsia"/>
          <w:sz w:val="32"/>
          <w:szCs w:val="32"/>
        </w:rPr>
        <w:t>%；事业收入82931.29万元，占73</w:t>
      </w:r>
      <w:r w:rsidR="00CF141B">
        <w:rPr>
          <w:rFonts w:asciiTheme="minorEastAsia" w:eastAsiaTheme="minorEastAsia" w:hAnsiTheme="minorEastAsia" w:hint="eastAsia"/>
          <w:sz w:val="32"/>
          <w:szCs w:val="32"/>
        </w:rPr>
        <w:t>.42</w:t>
      </w:r>
      <w:r w:rsidRPr="006452BC">
        <w:rPr>
          <w:rFonts w:asciiTheme="minorEastAsia" w:eastAsiaTheme="minorEastAsia" w:hAnsiTheme="minorEastAsia" w:hint="eastAsia"/>
          <w:sz w:val="32"/>
          <w:szCs w:val="32"/>
        </w:rPr>
        <w:t>%；其他收入1152.37万元，占1</w:t>
      </w:r>
      <w:r w:rsidR="00CF141B">
        <w:rPr>
          <w:rFonts w:asciiTheme="minorEastAsia" w:eastAsiaTheme="minorEastAsia" w:hAnsiTheme="minorEastAsia" w:hint="eastAsia"/>
          <w:sz w:val="32"/>
          <w:szCs w:val="32"/>
        </w:rPr>
        <w:t>.02</w:t>
      </w:r>
      <w:r w:rsidRPr="006452BC">
        <w:rPr>
          <w:rFonts w:asciiTheme="minorEastAsia" w:eastAsiaTheme="minorEastAsia" w:hAnsiTheme="minorEastAsia" w:hint="eastAsia"/>
          <w:sz w:val="32"/>
          <w:szCs w:val="32"/>
        </w:rPr>
        <w:t>%。</w:t>
      </w:r>
    </w:p>
    <w:p w:rsidR="00E75B20" w:rsidRPr="009B40AD" w:rsidRDefault="00E75B20" w:rsidP="009B40AD">
      <w:pPr>
        <w:ind w:firstLineChars="196" w:firstLine="630"/>
        <w:rPr>
          <w:rFonts w:asciiTheme="minorEastAsia" w:eastAsiaTheme="minorEastAsia" w:hAnsiTheme="minorEastAsia" w:cs="黑体"/>
          <w:b/>
          <w:bCs/>
          <w:sz w:val="32"/>
          <w:szCs w:val="32"/>
        </w:rPr>
      </w:pPr>
      <w:r w:rsidRPr="009B40AD">
        <w:rPr>
          <w:rFonts w:asciiTheme="minorEastAsia" w:eastAsiaTheme="minorEastAsia" w:hAnsiTheme="minorEastAsia" w:cs="黑体" w:hint="eastAsia"/>
          <w:b/>
          <w:bCs/>
          <w:sz w:val="32"/>
          <w:szCs w:val="32"/>
        </w:rPr>
        <w:lastRenderedPageBreak/>
        <w:t>三、支出决算情况说明</w:t>
      </w:r>
    </w:p>
    <w:p w:rsidR="00E75B20" w:rsidRPr="006452BC" w:rsidRDefault="00E75B20" w:rsidP="009F0652">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本年支出合计109399.46万元，其中：基本支出84083.66万元，占7</w:t>
      </w:r>
      <w:r w:rsidR="00CF141B">
        <w:rPr>
          <w:rFonts w:asciiTheme="minorEastAsia" w:eastAsiaTheme="minorEastAsia" w:hAnsiTheme="minorEastAsia" w:hint="eastAsia"/>
          <w:sz w:val="32"/>
          <w:szCs w:val="32"/>
        </w:rPr>
        <w:t>6.86</w:t>
      </w:r>
      <w:r w:rsidRPr="006452BC">
        <w:rPr>
          <w:rFonts w:asciiTheme="minorEastAsia" w:eastAsiaTheme="minorEastAsia" w:hAnsiTheme="minorEastAsia" w:hint="eastAsia"/>
          <w:sz w:val="32"/>
          <w:szCs w:val="32"/>
        </w:rPr>
        <w:t>%；项目支出25315.8万元，占23</w:t>
      </w:r>
      <w:r w:rsidR="00CF141B">
        <w:rPr>
          <w:rFonts w:asciiTheme="minorEastAsia" w:eastAsiaTheme="minorEastAsia" w:hAnsiTheme="minorEastAsia" w:hint="eastAsia"/>
          <w:sz w:val="32"/>
          <w:szCs w:val="32"/>
        </w:rPr>
        <w:t>.14</w:t>
      </w:r>
      <w:r w:rsidRPr="006452BC">
        <w:rPr>
          <w:rFonts w:asciiTheme="minorEastAsia" w:eastAsiaTheme="minorEastAsia" w:hAnsiTheme="minorEastAsia" w:hint="eastAsia"/>
          <w:sz w:val="32"/>
          <w:szCs w:val="32"/>
        </w:rPr>
        <w:t>%；</w:t>
      </w:r>
      <w:r w:rsidR="00CF141B" w:rsidRPr="006452BC">
        <w:rPr>
          <w:rFonts w:asciiTheme="minorEastAsia" w:eastAsiaTheme="minorEastAsia" w:hAnsiTheme="minorEastAsia"/>
          <w:sz w:val="32"/>
          <w:szCs w:val="32"/>
        </w:rPr>
        <w:t xml:space="preserve"> </w:t>
      </w:r>
    </w:p>
    <w:p w:rsidR="00ED50CC" w:rsidRPr="009B40AD" w:rsidRDefault="000F3D9D" w:rsidP="009B40AD">
      <w:pPr>
        <w:ind w:firstLineChars="196" w:firstLine="630"/>
        <w:rPr>
          <w:rFonts w:asciiTheme="minorEastAsia" w:eastAsiaTheme="minorEastAsia" w:hAnsiTheme="minorEastAsia" w:cs="黑体"/>
          <w:b/>
          <w:bCs/>
          <w:sz w:val="32"/>
          <w:szCs w:val="32"/>
        </w:rPr>
      </w:pPr>
      <w:r w:rsidRPr="009B40AD">
        <w:rPr>
          <w:rFonts w:asciiTheme="minorEastAsia" w:eastAsiaTheme="minorEastAsia" w:hAnsiTheme="minorEastAsia" w:cs="黑体" w:hint="eastAsia"/>
          <w:b/>
          <w:bCs/>
          <w:sz w:val="32"/>
          <w:szCs w:val="32"/>
        </w:rPr>
        <w:t>四、财政拨款收入支出决算总体情况说明</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财政拨款收入总计28867.42万元。与2019年度相比，财政拨款收入总计增加11695.69万元，增长68%。主要原因：一是一般公共预算财政拨款收入增加3695.69万元，主要是编内人员基本养老保险金及职业年金增加969.66万元、新型冠状病毒感染肺炎疫情防控中央、省、市补助资金3030.97万元；二是政府性基金预算财政拨款收入增加了8000万，主要原因是2020年3月新建二期门诊大楼项目开工建设。</w:t>
      </w:r>
    </w:p>
    <w:p w:rsidR="005B0544" w:rsidRPr="009B40AD" w:rsidRDefault="005B0544" w:rsidP="009B40AD">
      <w:pPr>
        <w:ind w:firstLineChars="196" w:firstLine="630"/>
        <w:rPr>
          <w:rFonts w:asciiTheme="minorEastAsia" w:eastAsiaTheme="minorEastAsia" w:hAnsiTheme="minorEastAsia" w:cs="黑体"/>
          <w:b/>
          <w:bCs/>
          <w:sz w:val="32"/>
          <w:szCs w:val="32"/>
        </w:rPr>
      </w:pPr>
      <w:bookmarkStart w:id="77" w:name="_Toc29364_WPSOffice_Level2"/>
      <w:bookmarkStart w:id="78" w:name="_Toc15415_WPSOffice_Level2"/>
      <w:bookmarkStart w:id="79" w:name="_Toc25136_WPSOffice_Level2"/>
      <w:bookmarkStart w:id="80" w:name="_Toc21701_WPSOffice_Level2"/>
      <w:bookmarkStart w:id="81" w:name="_Toc22318_WPSOffice_Level2"/>
      <w:bookmarkStart w:id="82" w:name="_Toc9502_WPSOffice_Level2"/>
      <w:r w:rsidRPr="009B40AD">
        <w:rPr>
          <w:rFonts w:asciiTheme="minorEastAsia" w:eastAsiaTheme="minorEastAsia" w:hAnsiTheme="minorEastAsia" w:cs="黑体" w:hint="eastAsia"/>
          <w:b/>
          <w:bCs/>
          <w:sz w:val="32"/>
          <w:szCs w:val="32"/>
        </w:rPr>
        <w:t>五、一般公共预算财政拨款支出决算情况说明</w:t>
      </w:r>
    </w:p>
    <w:p w:rsidR="005B0544" w:rsidRPr="006452BC" w:rsidRDefault="005B0544" w:rsidP="005B0544">
      <w:pPr>
        <w:ind w:firstLineChars="200" w:firstLine="640"/>
        <w:rPr>
          <w:rFonts w:asciiTheme="minorEastAsia" w:eastAsiaTheme="minorEastAsia" w:hAnsiTheme="minorEastAsia" w:cs="楷体"/>
          <w:sz w:val="32"/>
          <w:szCs w:val="32"/>
        </w:rPr>
      </w:pPr>
      <w:bookmarkStart w:id="83" w:name="_Toc13694_WPSOffice_Level2"/>
      <w:bookmarkStart w:id="84" w:name="_Toc17398_WPSOffice_Level2"/>
      <w:bookmarkStart w:id="85" w:name="_Toc19665_WPSOffice_Level2"/>
      <w:bookmarkStart w:id="86" w:name="_Toc23005_WPSOffice_Level2"/>
      <w:bookmarkStart w:id="87" w:name="_Toc9989_WPSOffice_Level2"/>
      <w:bookmarkStart w:id="88" w:name="_Toc21737_WPSOffice_Level2"/>
      <w:r w:rsidRPr="006452BC">
        <w:rPr>
          <w:rFonts w:asciiTheme="minorEastAsia" w:eastAsiaTheme="minorEastAsia" w:hAnsiTheme="minorEastAsia" w:cs="楷体" w:hint="eastAsia"/>
          <w:sz w:val="32"/>
          <w:szCs w:val="32"/>
        </w:rPr>
        <w:t>（一）一般公共预算财政拨款支出决算总体情况</w:t>
      </w:r>
      <w:bookmarkEnd w:id="83"/>
      <w:bookmarkEnd w:id="84"/>
      <w:r w:rsidRPr="006452BC">
        <w:rPr>
          <w:rFonts w:asciiTheme="minorEastAsia" w:eastAsiaTheme="minorEastAsia" w:hAnsiTheme="minorEastAsia" w:cs="楷体" w:hint="eastAsia"/>
          <w:sz w:val="32"/>
          <w:szCs w:val="32"/>
        </w:rPr>
        <w:t>。</w:t>
      </w:r>
      <w:bookmarkEnd w:id="85"/>
      <w:bookmarkEnd w:id="86"/>
      <w:bookmarkEnd w:id="87"/>
      <w:bookmarkEnd w:id="88"/>
    </w:p>
    <w:p w:rsidR="000F20FB" w:rsidRPr="006452BC" w:rsidRDefault="005B0544" w:rsidP="005B0544">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2020年度一般公共预算财政拨款支出12934.56万元，占本年支出合计的11.82%。与2019年度相比，一般公共预算财政拨款支出增加4518.75万元，增长53.69%，主要原因</w:t>
      </w:r>
      <w:bookmarkStart w:id="89" w:name="_Toc18793_WPSOffice_Level2"/>
      <w:bookmarkStart w:id="90" w:name="_Toc2711_WPSOffice_Level2"/>
      <w:bookmarkStart w:id="91" w:name="_Toc19075_WPSOffice_Level2"/>
      <w:bookmarkStart w:id="92" w:name="_Toc23864_WPSOffice_Level2"/>
      <w:bookmarkStart w:id="93" w:name="_Toc27767_WPSOffice_Level2"/>
      <w:bookmarkStart w:id="94" w:name="_Toc19535_WPSOffice_Level2"/>
      <w:r w:rsidR="0076084F" w:rsidRPr="006452BC">
        <w:rPr>
          <w:rFonts w:asciiTheme="minorEastAsia" w:eastAsiaTheme="minorEastAsia" w:hAnsiTheme="minorEastAsia" w:hint="eastAsia"/>
          <w:sz w:val="32"/>
          <w:szCs w:val="32"/>
        </w:rPr>
        <w:t>是编内人员基本养老保险金及职业年金增加969.66万元、</w:t>
      </w:r>
      <w:r w:rsidR="000F20FB" w:rsidRPr="006452BC">
        <w:rPr>
          <w:rFonts w:asciiTheme="minorEastAsia" w:eastAsiaTheme="minorEastAsia" w:hAnsiTheme="minorEastAsia" w:hint="eastAsia"/>
          <w:sz w:val="32"/>
          <w:szCs w:val="32"/>
        </w:rPr>
        <w:t>新型冠状病毒感染肺炎疫情防控中央、省、市补助资金3030.97万元；</w:t>
      </w:r>
      <w:r w:rsidR="003955A5" w:rsidRPr="006452BC">
        <w:rPr>
          <w:rFonts w:asciiTheme="minorEastAsia" w:eastAsiaTheme="minorEastAsia" w:hAnsiTheme="minorEastAsia" w:hint="eastAsia"/>
          <w:sz w:val="32"/>
          <w:szCs w:val="32"/>
        </w:rPr>
        <w:t>亚洲沙滩运动会保障经费518万。</w:t>
      </w:r>
    </w:p>
    <w:p w:rsidR="005B0544" w:rsidRPr="006452BC" w:rsidRDefault="005B0544" w:rsidP="005B0544">
      <w:pPr>
        <w:ind w:firstLineChars="200" w:firstLine="640"/>
        <w:rPr>
          <w:rFonts w:asciiTheme="minorEastAsia" w:eastAsiaTheme="minorEastAsia" w:hAnsiTheme="minorEastAsia" w:cs="楷体"/>
          <w:sz w:val="32"/>
          <w:szCs w:val="32"/>
        </w:rPr>
      </w:pPr>
      <w:r w:rsidRPr="006452BC">
        <w:rPr>
          <w:rFonts w:asciiTheme="minorEastAsia" w:eastAsiaTheme="minorEastAsia" w:hAnsiTheme="minorEastAsia" w:cs="楷体" w:hint="eastAsia"/>
          <w:sz w:val="32"/>
          <w:szCs w:val="32"/>
        </w:rPr>
        <w:t>（二）一般公共预算财政拨款支出决算结构情况</w:t>
      </w:r>
      <w:bookmarkEnd w:id="89"/>
      <w:bookmarkEnd w:id="90"/>
      <w:r w:rsidRPr="006452BC">
        <w:rPr>
          <w:rFonts w:asciiTheme="minorEastAsia" w:eastAsiaTheme="minorEastAsia" w:hAnsiTheme="minorEastAsia" w:cs="楷体" w:hint="eastAsia"/>
          <w:sz w:val="32"/>
          <w:szCs w:val="32"/>
        </w:rPr>
        <w:t>。</w:t>
      </w:r>
      <w:bookmarkEnd w:id="91"/>
      <w:bookmarkEnd w:id="92"/>
      <w:bookmarkEnd w:id="93"/>
      <w:bookmarkEnd w:id="94"/>
    </w:p>
    <w:p w:rsidR="005B0544" w:rsidRPr="006452BC" w:rsidRDefault="005B0544" w:rsidP="005B0544">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2020年度一般公共预算财政拨款支出12934.56万元，</w:t>
      </w:r>
      <w:r w:rsidRPr="006452BC">
        <w:rPr>
          <w:rFonts w:asciiTheme="minorEastAsia" w:eastAsiaTheme="minorEastAsia" w:hAnsiTheme="minorEastAsia" w:hint="eastAsia"/>
          <w:sz w:val="32"/>
          <w:szCs w:val="32"/>
        </w:rPr>
        <w:lastRenderedPageBreak/>
        <w:t>主要用于以下方面：</w:t>
      </w:r>
      <w:r w:rsidR="0029001A" w:rsidRPr="0029001A">
        <w:rPr>
          <w:rFonts w:asciiTheme="minorEastAsia" w:eastAsiaTheme="minorEastAsia" w:hAnsiTheme="minorEastAsia" w:hint="eastAsia"/>
          <w:sz w:val="32"/>
          <w:szCs w:val="32"/>
        </w:rPr>
        <w:t>文化旅游体育与传媒支出（类）</w:t>
      </w:r>
      <w:r w:rsidR="0029001A" w:rsidRPr="006452BC">
        <w:rPr>
          <w:rFonts w:asciiTheme="minorEastAsia" w:eastAsiaTheme="minorEastAsia" w:hAnsiTheme="minorEastAsia" w:hint="eastAsia"/>
          <w:sz w:val="32"/>
          <w:szCs w:val="32"/>
        </w:rPr>
        <w:t>支</w:t>
      </w:r>
      <w:r w:rsidRPr="006452BC">
        <w:rPr>
          <w:rFonts w:asciiTheme="minorEastAsia" w:eastAsiaTheme="minorEastAsia" w:hAnsiTheme="minorEastAsia" w:hint="eastAsia"/>
          <w:sz w:val="32"/>
          <w:szCs w:val="32"/>
        </w:rPr>
        <w:t>出5万元，占0.03%；</w:t>
      </w:r>
      <w:r w:rsidRPr="0029001A">
        <w:rPr>
          <w:rFonts w:asciiTheme="minorEastAsia" w:eastAsiaTheme="minorEastAsia" w:hAnsiTheme="minorEastAsia" w:hint="eastAsia"/>
          <w:sz w:val="32"/>
          <w:szCs w:val="32"/>
        </w:rPr>
        <w:t>社会保障和就业（类）</w:t>
      </w:r>
      <w:r w:rsidRPr="006452BC">
        <w:rPr>
          <w:rFonts w:asciiTheme="minorEastAsia" w:eastAsiaTheme="minorEastAsia" w:hAnsiTheme="minorEastAsia" w:hint="eastAsia"/>
          <w:sz w:val="32"/>
          <w:szCs w:val="32"/>
        </w:rPr>
        <w:t>支出2782.85万元，占21.51%；卫生健康支出9400.73万元，占72.68%；城乡社区支出（类）745.98万元，占5.78%；</w:t>
      </w:r>
      <w:r w:rsidR="002431FF" w:rsidRPr="006452BC">
        <w:rPr>
          <w:rFonts w:asciiTheme="minorEastAsia" w:eastAsiaTheme="minorEastAsia" w:hAnsiTheme="minorEastAsia"/>
          <w:sz w:val="32"/>
          <w:szCs w:val="32"/>
        </w:rPr>
        <w:t xml:space="preserve"> </w:t>
      </w:r>
    </w:p>
    <w:p w:rsidR="00ED50CC" w:rsidRPr="006452BC" w:rsidRDefault="000F3D9D">
      <w:pPr>
        <w:ind w:firstLineChars="200" w:firstLine="640"/>
        <w:rPr>
          <w:rFonts w:asciiTheme="minorEastAsia" w:eastAsiaTheme="minorEastAsia" w:hAnsiTheme="minorEastAsia" w:cs="楷体"/>
          <w:sz w:val="32"/>
          <w:szCs w:val="32"/>
        </w:rPr>
      </w:pPr>
      <w:r w:rsidRPr="006452BC">
        <w:rPr>
          <w:rFonts w:asciiTheme="minorEastAsia" w:eastAsiaTheme="minorEastAsia" w:hAnsiTheme="minorEastAsia" w:cs="楷体" w:hint="eastAsia"/>
          <w:sz w:val="32"/>
          <w:szCs w:val="32"/>
        </w:rPr>
        <w:t>（三）一般公共预算财政拨款支出决算具体情况。</w:t>
      </w:r>
      <w:bookmarkEnd w:id="77"/>
      <w:bookmarkEnd w:id="78"/>
      <w:bookmarkEnd w:id="79"/>
      <w:bookmarkEnd w:id="80"/>
      <w:bookmarkEnd w:id="81"/>
      <w:bookmarkEnd w:id="82"/>
    </w:p>
    <w:p w:rsidR="00BB1FA3" w:rsidRPr="006452BC" w:rsidRDefault="00BB1FA3" w:rsidP="00BB1FA3">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2020年度一般公共预算财政拨款支出年初预算为6623万元，支出决算为12934.56万元，完成年初预算195.30%。其中：</w:t>
      </w:r>
    </w:p>
    <w:p w:rsidR="00BB1FA3" w:rsidRPr="006452BC" w:rsidRDefault="00BB1FA3" w:rsidP="00BB1FA3">
      <w:pPr>
        <w:ind w:firstLineChars="200" w:firstLine="640"/>
        <w:rPr>
          <w:rFonts w:asciiTheme="minorEastAsia" w:eastAsiaTheme="minorEastAsia" w:hAnsiTheme="minorEastAsia"/>
          <w:b/>
          <w:sz w:val="32"/>
          <w:szCs w:val="32"/>
        </w:rPr>
      </w:pPr>
      <w:r w:rsidRPr="006452BC">
        <w:rPr>
          <w:rFonts w:asciiTheme="minorEastAsia" w:eastAsiaTheme="minorEastAsia" w:hAnsiTheme="minorEastAsia" w:hint="eastAsia"/>
          <w:sz w:val="32"/>
          <w:szCs w:val="32"/>
        </w:rPr>
        <w:t>1.</w:t>
      </w:r>
      <w:r w:rsidRPr="006452BC">
        <w:rPr>
          <w:rFonts w:asciiTheme="minorEastAsia" w:eastAsiaTheme="minorEastAsia" w:hAnsiTheme="minorEastAsia" w:cs="楷体" w:hint="eastAsia"/>
          <w:sz w:val="32"/>
          <w:szCs w:val="32"/>
        </w:rPr>
        <w:t>一般公共预算财政拨款支出决算</w:t>
      </w:r>
      <w:r w:rsidRPr="006452BC">
        <w:rPr>
          <w:rFonts w:asciiTheme="minorEastAsia" w:eastAsiaTheme="minorEastAsia" w:hAnsiTheme="minorEastAsia" w:hint="eastAsia"/>
          <w:b/>
          <w:sz w:val="32"/>
          <w:szCs w:val="32"/>
        </w:rPr>
        <w:t>。</w:t>
      </w:r>
    </w:p>
    <w:p w:rsidR="00BB1FA3" w:rsidRDefault="00BB1FA3" w:rsidP="00BB1FA3">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年初预算为6623万元，支出决算为12934.5</w:t>
      </w:r>
      <w:r w:rsidR="00C42B65">
        <w:rPr>
          <w:rFonts w:asciiTheme="minorEastAsia" w:eastAsiaTheme="minorEastAsia" w:hAnsiTheme="minorEastAsia" w:hint="eastAsia"/>
          <w:sz w:val="32"/>
          <w:szCs w:val="32"/>
        </w:rPr>
        <w:t>6</w:t>
      </w:r>
      <w:r w:rsidRPr="006452BC">
        <w:rPr>
          <w:rFonts w:asciiTheme="minorEastAsia" w:eastAsiaTheme="minorEastAsia" w:hAnsiTheme="minorEastAsia" w:hint="eastAsia"/>
          <w:sz w:val="32"/>
          <w:szCs w:val="32"/>
        </w:rPr>
        <w:t>万元，完成年初预算的195.30%。决算数大于预算数的主要原因：一是社会保障和就业支出714.85万元；二是卫生健康支出4845.73万元；三是城乡社区支出745.9</w:t>
      </w:r>
      <w:r w:rsidR="00C42B65">
        <w:rPr>
          <w:rFonts w:asciiTheme="minorEastAsia" w:eastAsiaTheme="minorEastAsia" w:hAnsiTheme="minorEastAsia" w:hint="eastAsia"/>
          <w:sz w:val="32"/>
          <w:szCs w:val="32"/>
        </w:rPr>
        <w:t>8</w:t>
      </w:r>
      <w:r w:rsidRPr="006452BC">
        <w:rPr>
          <w:rFonts w:asciiTheme="minorEastAsia" w:eastAsiaTheme="minorEastAsia" w:hAnsiTheme="minorEastAsia" w:hint="eastAsia"/>
          <w:sz w:val="32"/>
          <w:szCs w:val="32"/>
        </w:rPr>
        <w:t>万元；四是文化旅游体育与传媒支出5万元，比年初预算多6311.5</w:t>
      </w:r>
      <w:r w:rsidR="00C42B65">
        <w:rPr>
          <w:rFonts w:asciiTheme="minorEastAsia" w:eastAsiaTheme="minorEastAsia" w:hAnsiTheme="minorEastAsia" w:hint="eastAsia"/>
          <w:sz w:val="32"/>
          <w:szCs w:val="32"/>
        </w:rPr>
        <w:t>6</w:t>
      </w:r>
      <w:r w:rsidRPr="006452BC">
        <w:rPr>
          <w:rFonts w:asciiTheme="minorEastAsia" w:eastAsiaTheme="minorEastAsia" w:hAnsiTheme="minorEastAsia" w:hint="eastAsia"/>
          <w:sz w:val="32"/>
          <w:szCs w:val="32"/>
        </w:rPr>
        <w:t>万元。</w:t>
      </w:r>
    </w:p>
    <w:p w:rsidR="004806F2" w:rsidRPr="009B40AD" w:rsidRDefault="004806F2" w:rsidP="009B40AD">
      <w:pPr>
        <w:ind w:firstLineChars="196" w:firstLine="630"/>
        <w:rPr>
          <w:rFonts w:asciiTheme="minorEastAsia" w:eastAsiaTheme="minorEastAsia" w:hAnsiTheme="minorEastAsia" w:cs="黑体"/>
          <w:b/>
          <w:sz w:val="32"/>
          <w:szCs w:val="32"/>
        </w:rPr>
      </w:pPr>
      <w:r w:rsidRPr="009B40AD">
        <w:rPr>
          <w:rFonts w:asciiTheme="minorEastAsia" w:eastAsiaTheme="minorEastAsia" w:hAnsiTheme="minorEastAsia" w:cs="黑体" w:hint="eastAsia"/>
          <w:b/>
          <w:bCs/>
          <w:sz w:val="32"/>
          <w:szCs w:val="32"/>
        </w:rPr>
        <w:t>六、一般公共预算财政拨款基本支出决算情况说明。</w:t>
      </w:r>
    </w:p>
    <w:p w:rsidR="004806F2" w:rsidRPr="004806F2" w:rsidRDefault="004806F2" w:rsidP="004806F2">
      <w:pPr>
        <w:tabs>
          <w:tab w:val="center" w:pos="4473"/>
        </w:tabs>
        <w:ind w:firstLineChars="200" w:firstLine="640"/>
        <w:rPr>
          <w:rFonts w:asciiTheme="minorEastAsia" w:eastAsiaTheme="minorEastAsia" w:hAnsiTheme="minorEastAsia"/>
          <w:sz w:val="32"/>
          <w:szCs w:val="32"/>
        </w:rPr>
      </w:pPr>
      <w:r w:rsidRPr="004806F2">
        <w:rPr>
          <w:rFonts w:asciiTheme="minorEastAsia" w:eastAsiaTheme="minorEastAsia" w:hAnsiTheme="minorEastAsia" w:hint="eastAsia"/>
          <w:sz w:val="32"/>
          <w:szCs w:val="32"/>
        </w:rPr>
        <w:t>2020年度财政拨款基本支出0万元，其中：人员经费0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0万元，主要包括：办公费、印刷费、咨询费、手续费、</w:t>
      </w:r>
      <w:r w:rsidRPr="004806F2">
        <w:rPr>
          <w:rFonts w:asciiTheme="minorEastAsia" w:eastAsiaTheme="minorEastAsia" w:hAnsiTheme="minorEastAsia" w:hint="eastAsia"/>
          <w:sz w:val="32"/>
          <w:szCs w:val="32"/>
        </w:rPr>
        <w:lastRenderedPageBreak/>
        <w:t>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ED50CC" w:rsidRPr="001229CB" w:rsidRDefault="004806F2" w:rsidP="001229CB">
      <w:pPr>
        <w:tabs>
          <w:tab w:val="center" w:pos="4473"/>
        </w:tabs>
        <w:ind w:firstLineChars="200" w:firstLine="643"/>
        <w:rPr>
          <w:rFonts w:asciiTheme="minorEastAsia" w:eastAsiaTheme="minorEastAsia" w:hAnsiTheme="minorEastAsia" w:cs="黑体"/>
          <w:b/>
          <w:bCs/>
          <w:sz w:val="32"/>
          <w:szCs w:val="32"/>
        </w:rPr>
      </w:pPr>
      <w:r w:rsidRPr="001229CB">
        <w:rPr>
          <w:rFonts w:asciiTheme="minorEastAsia" w:eastAsiaTheme="minorEastAsia" w:hAnsiTheme="minorEastAsia" w:cs="黑体" w:hint="eastAsia"/>
          <w:b/>
          <w:bCs/>
          <w:sz w:val="32"/>
          <w:szCs w:val="32"/>
        </w:rPr>
        <w:t>七</w:t>
      </w:r>
      <w:r w:rsidR="000F3D9D" w:rsidRPr="001229CB">
        <w:rPr>
          <w:rFonts w:asciiTheme="minorEastAsia" w:eastAsiaTheme="minorEastAsia" w:hAnsiTheme="minorEastAsia" w:cs="黑体" w:hint="eastAsia"/>
          <w:b/>
          <w:bCs/>
          <w:sz w:val="32"/>
          <w:szCs w:val="32"/>
        </w:rPr>
        <w:t>、政府性基金预算财政拨款支出决算情况说明</w:t>
      </w:r>
    </w:p>
    <w:p w:rsidR="00ED50CC" w:rsidRPr="009B40AD" w:rsidRDefault="000F3D9D" w:rsidP="009B40AD">
      <w:pPr>
        <w:ind w:firstLineChars="200" w:firstLine="640"/>
        <w:rPr>
          <w:rFonts w:asciiTheme="minorEastAsia" w:eastAsiaTheme="minorEastAsia" w:hAnsiTheme="minorEastAsia" w:cs="楷体"/>
          <w:sz w:val="32"/>
          <w:szCs w:val="32"/>
        </w:rPr>
      </w:pPr>
      <w:r w:rsidRPr="009B40AD">
        <w:rPr>
          <w:rFonts w:asciiTheme="minorEastAsia" w:eastAsiaTheme="minorEastAsia" w:hAnsiTheme="minorEastAsia" w:cs="楷体" w:hint="eastAsia"/>
          <w:sz w:val="32"/>
          <w:szCs w:val="32"/>
        </w:rPr>
        <w:t>（一）政府性基金预算财政拨款支出决算总体情况。</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2020年度政府性基金预算财政拨款支出1</w:t>
      </w:r>
      <w:r w:rsidR="00A74168">
        <w:rPr>
          <w:rFonts w:asciiTheme="minorEastAsia" w:eastAsiaTheme="minorEastAsia" w:hAnsiTheme="minorEastAsia" w:hint="eastAsia"/>
          <w:sz w:val="32"/>
          <w:szCs w:val="32"/>
        </w:rPr>
        <w:t>2381.25</w:t>
      </w:r>
      <w:r w:rsidRPr="006452BC">
        <w:rPr>
          <w:rFonts w:asciiTheme="minorEastAsia" w:eastAsiaTheme="minorEastAsia" w:hAnsiTheme="minorEastAsia" w:hint="eastAsia"/>
          <w:sz w:val="32"/>
          <w:szCs w:val="32"/>
        </w:rPr>
        <w:t>万元，占本年支出合计的</w:t>
      </w:r>
      <w:r w:rsidR="00143BFC" w:rsidRPr="006452BC">
        <w:rPr>
          <w:rFonts w:asciiTheme="minorEastAsia" w:eastAsiaTheme="minorEastAsia" w:hAnsiTheme="minorEastAsia" w:hint="eastAsia"/>
          <w:sz w:val="32"/>
          <w:szCs w:val="32"/>
        </w:rPr>
        <w:t>11.</w:t>
      </w:r>
      <w:r w:rsidR="00A74168">
        <w:rPr>
          <w:rFonts w:asciiTheme="minorEastAsia" w:eastAsiaTheme="minorEastAsia" w:hAnsiTheme="minorEastAsia" w:hint="eastAsia"/>
          <w:sz w:val="32"/>
          <w:szCs w:val="32"/>
        </w:rPr>
        <w:t>32</w:t>
      </w:r>
      <w:r w:rsidRPr="006452BC">
        <w:rPr>
          <w:rFonts w:asciiTheme="minorEastAsia" w:eastAsiaTheme="minorEastAsia" w:hAnsiTheme="minorEastAsia" w:hint="eastAsia"/>
          <w:sz w:val="32"/>
          <w:szCs w:val="32"/>
        </w:rPr>
        <w:t>%。与2019年度相比，政府性基金预算财政拨款支出增加</w:t>
      </w:r>
      <w:r w:rsidR="00A74168">
        <w:rPr>
          <w:rFonts w:asciiTheme="minorEastAsia" w:eastAsiaTheme="minorEastAsia" w:hAnsiTheme="minorEastAsia" w:hint="eastAsia"/>
          <w:sz w:val="32"/>
          <w:szCs w:val="32"/>
        </w:rPr>
        <w:t>12258.48</w:t>
      </w:r>
      <w:r w:rsidRPr="006452BC">
        <w:rPr>
          <w:rFonts w:asciiTheme="minorEastAsia" w:eastAsiaTheme="minorEastAsia" w:hAnsiTheme="minorEastAsia" w:hint="eastAsia"/>
          <w:sz w:val="32"/>
          <w:szCs w:val="32"/>
        </w:rPr>
        <w:t>万元，主要原因是2020年3月新建二期门诊大楼项目开工建设</w:t>
      </w:r>
      <w:r w:rsidR="000E69FC">
        <w:rPr>
          <w:rFonts w:asciiTheme="minorEastAsia" w:eastAsiaTheme="minorEastAsia" w:hAnsiTheme="minorEastAsia" w:hint="eastAsia"/>
          <w:sz w:val="32"/>
          <w:szCs w:val="32"/>
        </w:rPr>
        <w:t>，</w:t>
      </w:r>
      <w:r w:rsidR="000E69FC" w:rsidRPr="006452BC">
        <w:rPr>
          <w:rFonts w:asciiTheme="minorEastAsia" w:eastAsiaTheme="minorEastAsia" w:hAnsiTheme="minorEastAsia" w:hint="eastAsia"/>
          <w:sz w:val="32"/>
          <w:szCs w:val="32"/>
        </w:rPr>
        <w:t>政府性基金预算财政拨款</w:t>
      </w:r>
      <w:r w:rsidR="000E69FC">
        <w:rPr>
          <w:rFonts w:asciiTheme="minorEastAsia" w:eastAsiaTheme="minorEastAsia" w:hAnsiTheme="minorEastAsia" w:hint="eastAsia"/>
          <w:sz w:val="32"/>
          <w:szCs w:val="32"/>
        </w:rPr>
        <w:t>根据工程款进度付款。</w:t>
      </w:r>
    </w:p>
    <w:p w:rsidR="00ED50CC" w:rsidRPr="009B40AD" w:rsidRDefault="000F3D9D" w:rsidP="009B40AD">
      <w:pPr>
        <w:ind w:firstLineChars="200" w:firstLine="640"/>
        <w:rPr>
          <w:rFonts w:asciiTheme="minorEastAsia" w:eastAsiaTheme="minorEastAsia" w:hAnsiTheme="minorEastAsia" w:cs="楷体"/>
          <w:sz w:val="32"/>
          <w:szCs w:val="32"/>
        </w:rPr>
      </w:pPr>
      <w:r w:rsidRPr="009B40AD">
        <w:rPr>
          <w:rFonts w:asciiTheme="minorEastAsia" w:eastAsiaTheme="minorEastAsia" w:hAnsiTheme="minorEastAsia" w:cs="楷体" w:hint="eastAsia"/>
          <w:sz w:val="32"/>
          <w:szCs w:val="32"/>
        </w:rPr>
        <w:t>（二）政府性基金预算财政拨款支出决算结构情况。</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2020年度政府性基金预算财政拨款支出</w:t>
      </w:r>
      <w:r w:rsidR="006E1703" w:rsidRPr="006452BC">
        <w:rPr>
          <w:rFonts w:asciiTheme="minorEastAsia" w:eastAsiaTheme="minorEastAsia" w:hAnsiTheme="minorEastAsia" w:hint="eastAsia"/>
          <w:sz w:val="32"/>
          <w:szCs w:val="32"/>
        </w:rPr>
        <w:t>1</w:t>
      </w:r>
      <w:r w:rsidR="006E1703">
        <w:rPr>
          <w:rFonts w:asciiTheme="minorEastAsia" w:eastAsiaTheme="minorEastAsia" w:hAnsiTheme="minorEastAsia" w:hint="eastAsia"/>
          <w:sz w:val="32"/>
          <w:szCs w:val="32"/>
        </w:rPr>
        <w:t>2381.25</w:t>
      </w:r>
      <w:r w:rsidRPr="006452BC">
        <w:rPr>
          <w:rFonts w:asciiTheme="minorEastAsia" w:eastAsiaTheme="minorEastAsia" w:hAnsiTheme="minorEastAsia" w:hint="eastAsia"/>
          <w:sz w:val="32"/>
          <w:szCs w:val="32"/>
        </w:rPr>
        <w:t>万元，</w:t>
      </w:r>
      <w:r w:rsidR="00A62502">
        <w:rPr>
          <w:rFonts w:asciiTheme="minorEastAsia" w:eastAsiaTheme="minorEastAsia" w:hAnsiTheme="minorEastAsia" w:hint="eastAsia"/>
          <w:sz w:val="32"/>
          <w:szCs w:val="32"/>
        </w:rPr>
        <w:t>其中</w:t>
      </w:r>
      <w:r w:rsidR="000F20FB" w:rsidRPr="006452BC">
        <w:rPr>
          <w:rFonts w:asciiTheme="minorEastAsia" w:eastAsiaTheme="minorEastAsia" w:hAnsiTheme="minorEastAsia" w:hint="eastAsia"/>
          <w:sz w:val="32"/>
          <w:szCs w:val="32"/>
        </w:rPr>
        <w:t>用于医院新建二期门诊大楼项目建设</w:t>
      </w:r>
      <w:r w:rsidR="00A62502">
        <w:rPr>
          <w:rFonts w:asciiTheme="minorEastAsia" w:eastAsiaTheme="minorEastAsia" w:hAnsiTheme="minorEastAsia" w:hint="eastAsia"/>
          <w:sz w:val="32"/>
          <w:szCs w:val="32"/>
        </w:rPr>
        <w:t>12366.99万元。</w:t>
      </w:r>
    </w:p>
    <w:p w:rsidR="00ED50CC" w:rsidRPr="009B40AD" w:rsidRDefault="000F3D9D" w:rsidP="009B40AD">
      <w:pPr>
        <w:ind w:firstLineChars="200" w:firstLine="640"/>
        <w:rPr>
          <w:rFonts w:asciiTheme="minorEastAsia" w:eastAsiaTheme="minorEastAsia" w:hAnsiTheme="minorEastAsia" w:cs="楷体"/>
          <w:sz w:val="32"/>
          <w:szCs w:val="32"/>
        </w:rPr>
      </w:pPr>
      <w:r w:rsidRPr="009B40AD">
        <w:rPr>
          <w:rFonts w:asciiTheme="minorEastAsia" w:eastAsiaTheme="minorEastAsia" w:hAnsiTheme="minorEastAsia" w:cs="楷体" w:hint="eastAsia"/>
          <w:sz w:val="32"/>
          <w:szCs w:val="32"/>
        </w:rPr>
        <w:t>（三）政府性基金预算财政拨款支出决算具体情况。</w:t>
      </w:r>
    </w:p>
    <w:p w:rsidR="00BB1FA3" w:rsidRPr="0029001A" w:rsidRDefault="000F3D9D" w:rsidP="00BB1FA3">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2020年度政府性基金预算财政拨款支出年初预算为</w:t>
      </w:r>
      <w:r w:rsidR="00957367">
        <w:rPr>
          <w:rFonts w:asciiTheme="minorEastAsia" w:eastAsiaTheme="minorEastAsia" w:hAnsiTheme="minorEastAsia" w:hint="eastAsia"/>
          <w:sz w:val="32"/>
          <w:szCs w:val="32"/>
        </w:rPr>
        <w:t>16095.73</w:t>
      </w:r>
      <w:r w:rsidRPr="006452BC">
        <w:rPr>
          <w:rFonts w:asciiTheme="minorEastAsia" w:eastAsiaTheme="minorEastAsia" w:hAnsiTheme="minorEastAsia" w:hint="eastAsia"/>
          <w:sz w:val="32"/>
          <w:szCs w:val="32"/>
        </w:rPr>
        <w:t>万元，支出决算为</w:t>
      </w:r>
      <w:r w:rsidR="00FD5FE6">
        <w:rPr>
          <w:rFonts w:asciiTheme="minorEastAsia" w:eastAsiaTheme="minorEastAsia" w:hAnsiTheme="minorEastAsia" w:hint="eastAsia"/>
          <w:sz w:val="32"/>
          <w:szCs w:val="32"/>
        </w:rPr>
        <w:t>12381.25</w:t>
      </w:r>
      <w:r w:rsidRPr="006452BC">
        <w:rPr>
          <w:rFonts w:asciiTheme="minorEastAsia" w:eastAsiaTheme="minorEastAsia" w:hAnsiTheme="minorEastAsia" w:hint="eastAsia"/>
          <w:sz w:val="32"/>
          <w:szCs w:val="32"/>
        </w:rPr>
        <w:t>万元，完成年初预算的</w:t>
      </w:r>
      <w:r w:rsidR="00FD5FE6">
        <w:rPr>
          <w:rFonts w:asciiTheme="minorEastAsia" w:eastAsiaTheme="minorEastAsia" w:hAnsiTheme="minorEastAsia" w:hint="eastAsia"/>
          <w:sz w:val="32"/>
          <w:szCs w:val="32"/>
        </w:rPr>
        <w:t>7</w:t>
      </w:r>
      <w:r w:rsidR="00957367">
        <w:rPr>
          <w:rFonts w:asciiTheme="minorEastAsia" w:eastAsiaTheme="minorEastAsia" w:hAnsiTheme="minorEastAsia" w:hint="eastAsia"/>
          <w:sz w:val="32"/>
          <w:szCs w:val="32"/>
        </w:rPr>
        <w:t>6.92</w:t>
      </w:r>
      <w:r w:rsidRPr="0029001A">
        <w:rPr>
          <w:rFonts w:asciiTheme="minorEastAsia" w:eastAsiaTheme="minorEastAsia" w:hAnsiTheme="minorEastAsia" w:hint="eastAsia"/>
          <w:sz w:val="32"/>
          <w:szCs w:val="32"/>
        </w:rPr>
        <w:t>%。</w:t>
      </w:r>
      <w:r w:rsidR="00BB1FA3" w:rsidRPr="0029001A">
        <w:rPr>
          <w:rFonts w:asciiTheme="minorEastAsia" w:eastAsiaTheme="minorEastAsia" w:hAnsiTheme="minorEastAsia" w:hint="eastAsia"/>
          <w:sz w:val="32"/>
          <w:szCs w:val="32"/>
        </w:rPr>
        <w:t>其中：</w:t>
      </w:r>
    </w:p>
    <w:p w:rsidR="00BB1FA3" w:rsidRPr="0029001A" w:rsidRDefault="00BB1FA3" w:rsidP="0029001A">
      <w:pPr>
        <w:ind w:firstLineChars="200" w:firstLine="640"/>
        <w:rPr>
          <w:rFonts w:asciiTheme="minorEastAsia" w:eastAsiaTheme="minorEastAsia" w:hAnsiTheme="minorEastAsia"/>
          <w:color w:val="000000" w:themeColor="text1"/>
          <w:sz w:val="32"/>
          <w:szCs w:val="32"/>
        </w:rPr>
      </w:pPr>
      <w:r w:rsidRPr="0029001A">
        <w:rPr>
          <w:rFonts w:asciiTheme="minorEastAsia" w:eastAsiaTheme="minorEastAsia" w:hAnsiTheme="minorEastAsia" w:hint="eastAsia"/>
          <w:color w:val="000000" w:themeColor="text1"/>
          <w:sz w:val="32"/>
          <w:szCs w:val="32"/>
        </w:rPr>
        <w:t>1.212（类）21208（款）2120899（项）其他国有土地使用权出让收入安排的支出</w:t>
      </w:r>
    </w:p>
    <w:p w:rsidR="00BB1FA3" w:rsidRPr="006452BC" w:rsidRDefault="00BB1FA3" w:rsidP="00BB1FA3">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年初</w:t>
      </w:r>
      <w:r w:rsidR="00AA14ED">
        <w:rPr>
          <w:rFonts w:asciiTheme="minorEastAsia" w:eastAsiaTheme="minorEastAsia" w:hAnsiTheme="minorEastAsia" w:hint="eastAsia"/>
          <w:sz w:val="32"/>
          <w:szCs w:val="32"/>
        </w:rPr>
        <w:t>结转结余</w:t>
      </w:r>
      <w:r w:rsidRPr="006452BC">
        <w:rPr>
          <w:rFonts w:asciiTheme="minorEastAsia" w:eastAsiaTheme="minorEastAsia" w:hAnsiTheme="minorEastAsia" w:hint="eastAsia"/>
          <w:sz w:val="32"/>
          <w:szCs w:val="32"/>
        </w:rPr>
        <w:t>为</w:t>
      </w:r>
      <w:r w:rsidR="00AA14ED">
        <w:rPr>
          <w:rFonts w:asciiTheme="minorEastAsia" w:eastAsiaTheme="minorEastAsia" w:hAnsiTheme="minorEastAsia" w:hint="eastAsia"/>
          <w:sz w:val="32"/>
          <w:szCs w:val="32"/>
        </w:rPr>
        <w:t>95.73</w:t>
      </w:r>
      <w:r w:rsidRPr="006452BC">
        <w:rPr>
          <w:rFonts w:asciiTheme="minorEastAsia" w:eastAsiaTheme="minorEastAsia" w:hAnsiTheme="minorEastAsia" w:hint="eastAsia"/>
          <w:sz w:val="32"/>
          <w:szCs w:val="32"/>
        </w:rPr>
        <w:t>万元，支出决算为95.73万元，</w:t>
      </w:r>
    </w:p>
    <w:p w:rsidR="00BB1FA3" w:rsidRPr="006452BC" w:rsidRDefault="00BB1FA3" w:rsidP="00BB1FA3">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lastRenderedPageBreak/>
        <w:t>主要原因：一是传染楼改扩建项目费用14.26万元；二是新建二期综合门诊大楼建设项目资金81.47万元。</w:t>
      </w:r>
    </w:p>
    <w:p w:rsidR="00ED50CC" w:rsidRDefault="00BB1FA3" w:rsidP="0029001A">
      <w:pPr>
        <w:ind w:firstLineChars="200" w:firstLine="640"/>
        <w:rPr>
          <w:rFonts w:asciiTheme="minorEastAsia" w:eastAsiaTheme="minorEastAsia" w:hAnsiTheme="minorEastAsia"/>
          <w:sz w:val="32"/>
          <w:szCs w:val="32"/>
        </w:rPr>
      </w:pPr>
      <w:r w:rsidRPr="0029001A">
        <w:rPr>
          <w:rFonts w:asciiTheme="minorEastAsia" w:eastAsiaTheme="minorEastAsia" w:hAnsiTheme="minorEastAsia" w:hint="eastAsia"/>
          <w:sz w:val="32"/>
          <w:szCs w:val="32"/>
        </w:rPr>
        <w:t>2.229（类）22904（款）2290402（项）其他地方自行试点项目收益专项债券收入安排的支出年初预算为16000万</w:t>
      </w:r>
      <w:r w:rsidRPr="006452BC">
        <w:rPr>
          <w:rFonts w:asciiTheme="minorEastAsia" w:eastAsiaTheme="minorEastAsia" w:hAnsiTheme="minorEastAsia" w:hint="eastAsia"/>
          <w:sz w:val="32"/>
          <w:szCs w:val="32"/>
        </w:rPr>
        <w:t>元，支出决算为12285.52万元，完成年初预算的76.7</w:t>
      </w:r>
      <w:r w:rsidR="00AA14ED">
        <w:rPr>
          <w:rFonts w:asciiTheme="minorEastAsia" w:eastAsiaTheme="minorEastAsia" w:hAnsiTheme="minorEastAsia" w:hint="eastAsia"/>
          <w:sz w:val="32"/>
          <w:szCs w:val="32"/>
        </w:rPr>
        <w:t>8</w:t>
      </w:r>
      <w:r w:rsidRPr="006452BC">
        <w:rPr>
          <w:rFonts w:asciiTheme="minorEastAsia" w:eastAsiaTheme="minorEastAsia" w:hAnsiTheme="minorEastAsia" w:hint="eastAsia"/>
          <w:sz w:val="32"/>
          <w:szCs w:val="32"/>
        </w:rPr>
        <w:t>%。</w:t>
      </w:r>
    </w:p>
    <w:p w:rsidR="004806F2" w:rsidRPr="001229CB" w:rsidRDefault="004806F2" w:rsidP="001229CB">
      <w:pPr>
        <w:tabs>
          <w:tab w:val="center" w:pos="4473"/>
        </w:tabs>
        <w:ind w:firstLineChars="196" w:firstLine="630"/>
        <w:rPr>
          <w:rFonts w:asciiTheme="minorEastAsia" w:eastAsiaTheme="minorEastAsia" w:hAnsiTheme="minorEastAsia" w:cs="黑体"/>
          <w:b/>
          <w:bCs/>
          <w:sz w:val="32"/>
          <w:szCs w:val="32"/>
        </w:rPr>
      </w:pPr>
      <w:r w:rsidRPr="001229CB">
        <w:rPr>
          <w:rFonts w:asciiTheme="minorEastAsia" w:eastAsiaTheme="minorEastAsia" w:hAnsiTheme="minorEastAsia" w:cs="黑体" w:hint="eastAsia"/>
          <w:b/>
          <w:bCs/>
          <w:sz w:val="32"/>
          <w:szCs w:val="32"/>
        </w:rPr>
        <w:t>八、国有资本经营预算财政拨款支出决算情况说明</w:t>
      </w:r>
    </w:p>
    <w:p w:rsidR="004806F2" w:rsidRPr="009B40AD" w:rsidRDefault="004806F2" w:rsidP="009B40AD">
      <w:pPr>
        <w:ind w:firstLineChars="200" w:firstLine="640"/>
        <w:rPr>
          <w:rFonts w:asciiTheme="minorEastAsia" w:eastAsiaTheme="minorEastAsia" w:hAnsiTheme="minorEastAsia" w:cs="楷体"/>
          <w:sz w:val="32"/>
          <w:szCs w:val="32"/>
        </w:rPr>
      </w:pPr>
      <w:r w:rsidRPr="009B40AD">
        <w:rPr>
          <w:rFonts w:asciiTheme="minorEastAsia" w:eastAsiaTheme="minorEastAsia" w:hAnsiTheme="minorEastAsia" w:cs="楷体" w:hint="eastAsia"/>
          <w:sz w:val="32"/>
          <w:szCs w:val="32"/>
        </w:rPr>
        <w:t>（一）国有资本经营预算财政拨款支出决算总体情况。</w:t>
      </w:r>
    </w:p>
    <w:p w:rsidR="004806F2" w:rsidRPr="009B40AD" w:rsidRDefault="004806F2" w:rsidP="004806F2">
      <w:pPr>
        <w:ind w:firstLineChars="200" w:firstLine="640"/>
        <w:rPr>
          <w:rFonts w:asciiTheme="minorEastAsia" w:eastAsiaTheme="minorEastAsia" w:hAnsiTheme="minorEastAsia"/>
          <w:sz w:val="32"/>
          <w:szCs w:val="32"/>
        </w:rPr>
      </w:pPr>
      <w:r w:rsidRPr="00985541">
        <w:rPr>
          <w:rFonts w:asciiTheme="minorEastAsia" w:eastAsiaTheme="minorEastAsia" w:hAnsiTheme="minorEastAsia" w:hint="eastAsia"/>
          <w:sz w:val="32"/>
          <w:szCs w:val="32"/>
        </w:rPr>
        <w:t>2020年度国有资本经营预算财政拨款支出0万元，占本</w:t>
      </w:r>
      <w:r w:rsidRPr="009B40AD">
        <w:rPr>
          <w:rFonts w:asciiTheme="minorEastAsia" w:eastAsiaTheme="minorEastAsia" w:hAnsiTheme="minorEastAsia" w:hint="eastAsia"/>
          <w:sz w:val="32"/>
          <w:szCs w:val="32"/>
        </w:rPr>
        <w:t>年支出合计的0%。</w:t>
      </w:r>
    </w:p>
    <w:p w:rsidR="004806F2" w:rsidRPr="009B40AD" w:rsidRDefault="004806F2" w:rsidP="009B40AD">
      <w:pPr>
        <w:ind w:firstLineChars="200" w:firstLine="640"/>
        <w:rPr>
          <w:rFonts w:asciiTheme="minorEastAsia" w:eastAsiaTheme="minorEastAsia" w:hAnsiTheme="minorEastAsia" w:cs="楷体"/>
          <w:sz w:val="32"/>
          <w:szCs w:val="32"/>
        </w:rPr>
      </w:pPr>
      <w:r w:rsidRPr="009B40AD">
        <w:rPr>
          <w:rFonts w:asciiTheme="minorEastAsia" w:eastAsiaTheme="minorEastAsia" w:hAnsiTheme="minorEastAsia" w:cs="楷体" w:hint="eastAsia"/>
          <w:sz w:val="32"/>
          <w:szCs w:val="32"/>
        </w:rPr>
        <w:t>（二）国有资本经营预算财政拨款支出决算结构情况。</w:t>
      </w:r>
    </w:p>
    <w:p w:rsidR="004806F2" w:rsidRPr="00985541" w:rsidRDefault="004806F2" w:rsidP="004806F2">
      <w:pPr>
        <w:ind w:firstLineChars="200" w:firstLine="640"/>
        <w:rPr>
          <w:rFonts w:asciiTheme="minorEastAsia" w:eastAsiaTheme="minorEastAsia" w:hAnsiTheme="minorEastAsia"/>
          <w:sz w:val="32"/>
          <w:szCs w:val="32"/>
        </w:rPr>
      </w:pPr>
      <w:r w:rsidRPr="00985541">
        <w:rPr>
          <w:rFonts w:asciiTheme="minorEastAsia" w:eastAsiaTheme="minorEastAsia" w:hAnsiTheme="minorEastAsia" w:hint="eastAsia"/>
          <w:sz w:val="32"/>
          <w:szCs w:val="32"/>
        </w:rPr>
        <w:t xml:space="preserve">2020年度国有资本经营预算财政拨款支出0万元 </w:t>
      </w:r>
    </w:p>
    <w:p w:rsidR="004806F2" w:rsidRPr="009B40AD" w:rsidRDefault="004806F2" w:rsidP="009B40AD">
      <w:pPr>
        <w:ind w:firstLineChars="200" w:firstLine="640"/>
        <w:rPr>
          <w:rFonts w:asciiTheme="minorEastAsia" w:eastAsiaTheme="minorEastAsia" w:hAnsiTheme="minorEastAsia" w:cs="楷体"/>
          <w:sz w:val="32"/>
          <w:szCs w:val="32"/>
        </w:rPr>
      </w:pPr>
      <w:r w:rsidRPr="009B40AD">
        <w:rPr>
          <w:rFonts w:asciiTheme="minorEastAsia" w:eastAsiaTheme="minorEastAsia" w:hAnsiTheme="minorEastAsia" w:cs="楷体" w:hint="eastAsia"/>
          <w:sz w:val="32"/>
          <w:szCs w:val="32"/>
        </w:rPr>
        <w:t>（三）国有资本经营预算财政拨款支出决算具体情况。</w:t>
      </w:r>
    </w:p>
    <w:p w:rsidR="004806F2" w:rsidRDefault="004806F2" w:rsidP="004806F2">
      <w:pPr>
        <w:ind w:firstLineChars="200" w:firstLine="640"/>
        <w:rPr>
          <w:rFonts w:asciiTheme="minorEastAsia" w:eastAsiaTheme="minorEastAsia" w:hAnsiTheme="minorEastAsia"/>
          <w:sz w:val="32"/>
          <w:szCs w:val="32"/>
        </w:rPr>
      </w:pPr>
      <w:r w:rsidRPr="00985541">
        <w:rPr>
          <w:rFonts w:asciiTheme="minorEastAsia" w:eastAsiaTheme="minorEastAsia" w:hAnsiTheme="minorEastAsia" w:hint="eastAsia"/>
          <w:sz w:val="32"/>
          <w:szCs w:val="32"/>
        </w:rPr>
        <w:t>2020年度国有资本经营预算财政拨款支出年初预算为0万元，支出决算为0万元，完成年初预算的0%。</w:t>
      </w:r>
    </w:p>
    <w:p w:rsidR="004806F2" w:rsidRPr="001229CB" w:rsidRDefault="004806F2" w:rsidP="001229CB">
      <w:pPr>
        <w:ind w:firstLineChars="196" w:firstLine="630"/>
        <w:rPr>
          <w:rFonts w:asciiTheme="minorEastAsia" w:eastAsiaTheme="minorEastAsia" w:hAnsiTheme="minorEastAsia"/>
          <w:b/>
          <w:sz w:val="32"/>
          <w:szCs w:val="32"/>
        </w:rPr>
      </w:pPr>
      <w:r w:rsidRPr="001229CB">
        <w:rPr>
          <w:rFonts w:asciiTheme="minorEastAsia" w:eastAsiaTheme="minorEastAsia" w:hAnsiTheme="minorEastAsia" w:cs="黑体" w:hint="eastAsia"/>
          <w:b/>
          <w:bCs/>
          <w:sz w:val="32"/>
          <w:szCs w:val="32"/>
        </w:rPr>
        <w:t>九、一般公共预算财政拨款“三公”经费支出决算情况说明</w:t>
      </w:r>
    </w:p>
    <w:p w:rsidR="004806F2" w:rsidRPr="009B40AD" w:rsidRDefault="004806F2" w:rsidP="009B40AD">
      <w:pPr>
        <w:ind w:firstLineChars="200" w:firstLine="640"/>
        <w:rPr>
          <w:rFonts w:asciiTheme="minorEastAsia" w:eastAsiaTheme="minorEastAsia" w:hAnsiTheme="minorEastAsia" w:cs="楷体"/>
          <w:sz w:val="32"/>
          <w:szCs w:val="32"/>
        </w:rPr>
      </w:pPr>
      <w:r w:rsidRPr="009B40AD">
        <w:rPr>
          <w:rFonts w:asciiTheme="minorEastAsia" w:eastAsiaTheme="minorEastAsia" w:hAnsiTheme="minorEastAsia" w:cs="楷体" w:hint="eastAsia"/>
          <w:sz w:val="32"/>
          <w:szCs w:val="32"/>
        </w:rPr>
        <w:t>（一）一般公共预算财政拨款“三公”经费支出决算总体情况说明。</w:t>
      </w:r>
    </w:p>
    <w:p w:rsidR="004806F2" w:rsidRPr="009B40AD" w:rsidRDefault="004806F2" w:rsidP="004806F2">
      <w:pPr>
        <w:rPr>
          <w:rFonts w:asciiTheme="minorEastAsia" w:eastAsiaTheme="minorEastAsia" w:hAnsiTheme="minorEastAsia"/>
          <w:sz w:val="32"/>
          <w:szCs w:val="32"/>
        </w:rPr>
      </w:pPr>
      <w:r w:rsidRPr="009B40AD">
        <w:rPr>
          <w:rFonts w:asciiTheme="minorEastAsia" w:eastAsiaTheme="minorEastAsia" w:hAnsiTheme="minorEastAsia" w:hint="eastAsia"/>
          <w:sz w:val="32"/>
          <w:szCs w:val="32"/>
        </w:rPr>
        <w:t xml:space="preserve">    2020年度一般公共预算财政拨款“三公”经费支出预算为0万元，支出决算为0万元，完成预算的0%。</w:t>
      </w:r>
    </w:p>
    <w:p w:rsidR="004806F2" w:rsidRPr="009B40AD" w:rsidRDefault="004806F2" w:rsidP="004806F2">
      <w:pPr>
        <w:rPr>
          <w:rFonts w:asciiTheme="minorEastAsia" w:eastAsiaTheme="minorEastAsia" w:hAnsiTheme="minorEastAsia" w:cs="楷体"/>
          <w:bCs/>
          <w:sz w:val="32"/>
          <w:szCs w:val="32"/>
        </w:rPr>
      </w:pPr>
      <w:r w:rsidRPr="009B40AD">
        <w:rPr>
          <w:rFonts w:asciiTheme="minorEastAsia" w:eastAsiaTheme="minorEastAsia" w:hAnsiTheme="minorEastAsia" w:cs="楷体" w:hint="eastAsia"/>
          <w:bCs/>
          <w:sz w:val="32"/>
          <w:szCs w:val="32"/>
        </w:rPr>
        <w:t xml:space="preserve">    （二）一般公共预算财政拨款“三公”经费支出决算具体情况说明。</w:t>
      </w:r>
    </w:p>
    <w:p w:rsidR="004806F2" w:rsidRPr="004806F2" w:rsidRDefault="004806F2" w:rsidP="004806F2">
      <w:pPr>
        <w:ind w:firstLineChars="200" w:firstLine="640"/>
        <w:rPr>
          <w:rFonts w:asciiTheme="minorEastAsia" w:eastAsiaTheme="minorEastAsia" w:hAnsiTheme="minorEastAsia"/>
          <w:sz w:val="32"/>
          <w:szCs w:val="32"/>
        </w:rPr>
      </w:pPr>
      <w:r w:rsidRPr="00985541">
        <w:rPr>
          <w:rFonts w:asciiTheme="minorEastAsia" w:eastAsiaTheme="minorEastAsia" w:hAnsiTheme="minorEastAsia" w:hint="eastAsia"/>
          <w:sz w:val="32"/>
          <w:szCs w:val="32"/>
        </w:rPr>
        <w:lastRenderedPageBreak/>
        <w:t>2020年度一般公共预算财政拨款“三公”经费支出决算中，因公出国（境）费支出决算0万元，占0%；公务用车购置及运行费支出决算0万元，占0%；公务接待费支出决</w:t>
      </w:r>
      <w:r w:rsidRPr="004806F2">
        <w:rPr>
          <w:rFonts w:asciiTheme="minorEastAsia" w:eastAsiaTheme="minorEastAsia" w:hAnsiTheme="minorEastAsia" w:hint="eastAsia"/>
          <w:sz w:val="32"/>
          <w:szCs w:val="32"/>
        </w:rPr>
        <w:t>算0万元，占0%。具体情况如下：</w:t>
      </w:r>
    </w:p>
    <w:p w:rsidR="004806F2" w:rsidRPr="004806F2" w:rsidRDefault="004806F2" w:rsidP="004806F2">
      <w:pPr>
        <w:ind w:firstLineChars="200" w:firstLine="640"/>
        <w:rPr>
          <w:rFonts w:asciiTheme="minorEastAsia" w:eastAsiaTheme="minorEastAsia" w:hAnsiTheme="minorEastAsia"/>
          <w:sz w:val="32"/>
          <w:szCs w:val="32"/>
        </w:rPr>
      </w:pPr>
      <w:r w:rsidRPr="004806F2">
        <w:rPr>
          <w:rFonts w:asciiTheme="minorEastAsia" w:eastAsiaTheme="minorEastAsia" w:hAnsiTheme="minorEastAsia" w:hint="eastAsia"/>
          <w:sz w:val="32"/>
          <w:szCs w:val="32"/>
        </w:rPr>
        <w:t>1.因公出国（境）费支出0万元。</w:t>
      </w:r>
    </w:p>
    <w:p w:rsidR="004806F2" w:rsidRPr="004806F2" w:rsidRDefault="004806F2" w:rsidP="004806F2">
      <w:pPr>
        <w:rPr>
          <w:rFonts w:asciiTheme="minorEastAsia" w:eastAsiaTheme="minorEastAsia" w:hAnsiTheme="minorEastAsia"/>
          <w:sz w:val="32"/>
          <w:szCs w:val="32"/>
        </w:rPr>
      </w:pPr>
      <w:r w:rsidRPr="004806F2">
        <w:rPr>
          <w:rFonts w:asciiTheme="minorEastAsia" w:eastAsiaTheme="minorEastAsia" w:hAnsiTheme="minorEastAsia" w:hint="eastAsia"/>
          <w:sz w:val="32"/>
          <w:szCs w:val="32"/>
        </w:rPr>
        <w:t xml:space="preserve">    2.公务用车购置及运行费支出0万元。</w:t>
      </w:r>
    </w:p>
    <w:p w:rsidR="004806F2" w:rsidRPr="004806F2" w:rsidRDefault="004806F2" w:rsidP="004806F2">
      <w:pPr>
        <w:ind w:firstLineChars="200" w:firstLine="640"/>
        <w:rPr>
          <w:rFonts w:asciiTheme="minorEastAsia" w:eastAsiaTheme="minorEastAsia" w:hAnsiTheme="minorEastAsia"/>
          <w:bCs/>
          <w:sz w:val="32"/>
          <w:szCs w:val="32"/>
        </w:rPr>
      </w:pPr>
      <w:r w:rsidRPr="004806F2">
        <w:rPr>
          <w:rFonts w:asciiTheme="minorEastAsia" w:eastAsiaTheme="minorEastAsia" w:hAnsiTheme="minorEastAsia" w:hint="eastAsia"/>
          <w:sz w:val="32"/>
          <w:szCs w:val="32"/>
        </w:rPr>
        <w:t>公务用车运行维护费支出0万元。</w:t>
      </w:r>
    </w:p>
    <w:p w:rsidR="004806F2" w:rsidRPr="004806F2" w:rsidRDefault="004806F2" w:rsidP="004806F2">
      <w:pPr>
        <w:rPr>
          <w:rFonts w:asciiTheme="minorEastAsia" w:eastAsiaTheme="minorEastAsia" w:hAnsiTheme="minorEastAsia"/>
          <w:sz w:val="32"/>
          <w:szCs w:val="32"/>
        </w:rPr>
      </w:pPr>
      <w:r w:rsidRPr="004806F2">
        <w:rPr>
          <w:rFonts w:asciiTheme="minorEastAsia" w:eastAsiaTheme="minorEastAsia" w:hAnsiTheme="minorEastAsia" w:hint="eastAsia"/>
          <w:sz w:val="32"/>
          <w:szCs w:val="32"/>
        </w:rPr>
        <w:t xml:space="preserve">    3.公务接待费支出0万元。 </w:t>
      </w:r>
    </w:p>
    <w:p w:rsidR="004806F2" w:rsidRDefault="004806F2" w:rsidP="004806F2">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rsidR="004806F2" w:rsidRPr="001229CB" w:rsidRDefault="004806F2" w:rsidP="004806F2">
      <w:pPr>
        <w:ind w:firstLineChars="200" w:firstLine="640"/>
        <w:rPr>
          <w:rFonts w:asciiTheme="minorEastAsia" w:eastAsiaTheme="minorEastAsia" w:hAnsiTheme="minorEastAsia"/>
          <w:sz w:val="32"/>
          <w:szCs w:val="32"/>
        </w:rPr>
      </w:pPr>
      <w:r w:rsidRPr="001229CB">
        <w:rPr>
          <w:rFonts w:asciiTheme="minorEastAsia" w:eastAsiaTheme="minorEastAsia" w:hAnsiTheme="minorEastAsia" w:hint="eastAsia"/>
          <w:sz w:val="32"/>
          <w:szCs w:val="32"/>
        </w:rPr>
        <w:t>2020年度政府性基金预算财政拨款“三公”经费支出合计</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万元。其中：因公出国（境）费支出决算</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万元，占</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%；公务用车购置及运行费支出决算</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万元，占</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%；公务接待费支出决算</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万元，占</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w:t>
      </w:r>
    </w:p>
    <w:p w:rsidR="004806F2" w:rsidRDefault="004806F2" w:rsidP="004806F2">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rsidR="00985541" w:rsidRPr="001229CB" w:rsidRDefault="004806F2" w:rsidP="008C2B38">
      <w:pPr>
        <w:ind w:firstLineChars="200" w:firstLine="640"/>
        <w:rPr>
          <w:rFonts w:asciiTheme="minorEastAsia" w:eastAsiaTheme="minorEastAsia" w:hAnsiTheme="minorEastAsia"/>
          <w:sz w:val="32"/>
          <w:szCs w:val="32"/>
        </w:rPr>
      </w:pPr>
      <w:r w:rsidRPr="001229CB">
        <w:rPr>
          <w:rFonts w:asciiTheme="minorEastAsia" w:eastAsiaTheme="minorEastAsia" w:hAnsiTheme="minorEastAsia" w:hint="eastAsia"/>
          <w:sz w:val="32"/>
          <w:szCs w:val="32"/>
        </w:rPr>
        <w:t>2020年度国有资本经营预算财政拨款“三公”经费支出合计</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万元。其中：因公出国（境）费支出决算</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万元，占</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%；公务用车购置及运行费支出决算</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万元，占</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%；公务接待费支出决算</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万元，占</w:t>
      </w:r>
      <w:r w:rsidR="00985541" w:rsidRPr="001229CB">
        <w:rPr>
          <w:rFonts w:asciiTheme="minorEastAsia" w:eastAsiaTheme="minorEastAsia" w:hAnsiTheme="minorEastAsia" w:hint="eastAsia"/>
          <w:sz w:val="32"/>
          <w:szCs w:val="32"/>
        </w:rPr>
        <w:t>0</w:t>
      </w:r>
      <w:r w:rsidRPr="001229CB">
        <w:rPr>
          <w:rFonts w:asciiTheme="minorEastAsia" w:eastAsiaTheme="minorEastAsia" w:hAnsiTheme="minorEastAsia" w:hint="eastAsia"/>
          <w:sz w:val="32"/>
          <w:szCs w:val="32"/>
        </w:rPr>
        <w:t>%。</w:t>
      </w:r>
    </w:p>
    <w:p w:rsidR="00A426D4" w:rsidRPr="001229CB" w:rsidRDefault="00985541" w:rsidP="001229CB">
      <w:pPr>
        <w:ind w:firstLineChars="200" w:firstLine="643"/>
        <w:rPr>
          <w:rFonts w:asciiTheme="minorEastAsia" w:eastAsiaTheme="minorEastAsia" w:hAnsiTheme="minorEastAsia" w:cs="黑体"/>
          <w:b/>
          <w:bCs/>
          <w:sz w:val="32"/>
          <w:szCs w:val="32"/>
        </w:rPr>
      </w:pPr>
      <w:r w:rsidRPr="001229CB">
        <w:rPr>
          <w:rFonts w:asciiTheme="minorEastAsia" w:eastAsiaTheme="minorEastAsia" w:hAnsiTheme="minorEastAsia" w:cs="黑体" w:hint="eastAsia"/>
          <w:b/>
          <w:bCs/>
          <w:sz w:val="32"/>
          <w:szCs w:val="32"/>
        </w:rPr>
        <w:t>十二</w:t>
      </w:r>
      <w:r w:rsidR="00A426D4" w:rsidRPr="001229CB">
        <w:rPr>
          <w:rFonts w:asciiTheme="minorEastAsia" w:eastAsiaTheme="minorEastAsia" w:hAnsiTheme="minorEastAsia" w:cs="黑体" w:hint="eastAsia"/>
          <w:b/>
          <w:bCs/>
          <w:sz w:val="32"/>
          <w:szCs w:val="32"/>
        </w:rPr>
        <w:t>、预算绩效情况说明。</w:t>
      </w:r>
    </w:p>
    <w:p w:rsidR="00A426D4" w:rsidRPr="002C51A8" w:rsidRDefault="00A426D4" w:rsidP="002C51A8">
      <w:pPr>
        <w:spacing w:line="578" w:lineRule="exact"/>
        <w:ind w:firstLineChars="200" w:firstLine="640"/>
        <w:rPr>
          <w:rFonts w:asciiTheme="minorEastAsia" w:eastAsiaTheme="minorEastAsia" w:hAnsiTheme="minorEastAsia" w:cs="楷体"/>
          <w:sz w:val="32"/>
          <w:szCs w:val="32"/>
        </w:rPr>
      </w:pPr>
      <w:r w:rsidRPr="002C51A8">
        <w:rPr>
          <w:rFonts w:asciiTheme="minorEastAsia" w:eastAsiaTheme="minorEastAsia" w:hAnsiTheme="minorEastAsia" w:cs="楷体" w:hint="eastAsia"/>
          <w:sz w:val="32"/>
          <w:szCs w:val="32"/>
        </w:rPr>
        <w:t>（一）绩效管理工作开展情况。</w:t>
      </w:r>
    </w:p>
    <w:p w:rsidR="00A426D4" w:rsidRPr="006452BC" w:rsidRDefault="00A426D4" w:rsidP="00A426D4">
      <w:pPr>
        <w:spacing w:line="578" w:lineRule="exact"/>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lastRenderedPageBreak/>
        <w:t>根据财政预算绩效管理要求，可按照如下格式说明：根据财政预算管理要求，我部门（单位）组织对2020年度一般公共预算项目支出全面开展绩效自评。自评项目17个，共涉及资金8800万元，自评覆盖率达到70%。</w:t>
      </w:r>
    </w:p>
    <w:p w:rsidR="00CF141B" w:rsidRPr="0029001A" w:rsidRDefault="00A426D4" w:rsidP="0029001A">
      <w:pPr>
        <w:ind w:firstLineChars="200" w:firstLine="640"/>
        <w:rPr>
          <w:rFonts w:asciiTheme="minorEastAsia" w:eastAsiaTheme="minorEastAsia" w:hAnsiTheme="minorEastAsia"/>
          <w:color w:val="000000" w:themeColor="text1"/>
          <w:sz w:val="32"/>
          <w:szCs w:val="32"/>
        </w:rPr>
      </w:pPr>
      <w:r w:rsidRPr="006452BC">
        <w:rPr>
          <w:rFonts w:asciiTheme="minorEastAsia" w:eastAsiaTheme="minorEastAsia" w:hAnsiTheme="minorEastAsia" w:hint="eastAsia"/>
          <w:sz w:val="32"/>
          <w:szCs w:val="32"/>
        </w:rPr>
        <w:t>共组织对“设备（装备）购置与运行维护”等17个项目开展了部门评价，涉及资金8800万元。从评价情况来看，</w:t>
      </w:r>
      <w:r w:rsidRPr="00CF141B">
        <w:rPr>
          <w:rFonts w:asciiTheme="minorEastAsia" w:eastAsiaTheme="minorEastAsia" w:hAnsiTheme="minorEastAsia" w:hint="eastAsia"/>
          <w:color w:val="000000" w:themeColor="text1"/>
          <w:sz w:val="32"/>
          <w:szCs w:val="32"/>
        </w:rPr>
        <w:t>各部门基本完成工作目标，执行率达100％，自评分数为“良好”</w:t>
      </w:r>
      <w:r w:rsidRPr="00CF141B">
        <w:rPr>
          <w:rFonts w:asciiTheme="minorEastAsia" w:eastAsiaTheme="minorEastAsia" w:hAnsiTheme="minorEastAsia" w:cs="宋体" w:hint="eastAsia"/>
          <w:color w:val="000000" w:themeColor="text1"/>
          <w:sz w:val="32"/>
          <w:szCs w:val="32"/>
        </w:rPr>
        <w:t>(80-89分)。部分项目存在工作流程不完善和支出缓慢的情况。</w:t>
      </w:r>
      <w:r w:rsidRPr="00CF141B">
        <w:rPr>
          <w:rFonts w:asciiTheme="minorEastAsia" w:eastAsiaTheme="minorEastAsia" w:hAnsiTheme="minorEastAsia" w:hint="eastAsia"/>
          <w:color w:val="000000" w:themeColor="text1"/>
          <w:sz w:val="32"/>
          <w:szCs w:val="32"/>
        </w:rPr>
        <w:t>本年度未开展整体支出绩效评价，只针对项目进行</w:t>
      </w:r>
      <w:r w:rsidRPr="0029001A">
        <w:rPr>
          <w:rFonts w:asciiTheme="minorEastAsia" w:eastAsiaTheme="minorEastAsia" w:hAnsiTheme="minorEastAsia" w:hint="eastAsia"/>
          <w:color w:val="000000" w:themeColor="text1"/>
          <w:sz w:val="32"/>
          <w:szCs w:val="32"/>
        </w:rPr>
        <w:t>自评。</w:t>
      </w:r>
    </w:p>
    <w:p w:rsidR="006452BC" w:rsidRPr="0029001A" w:rsidRDefault="006452BC" w:rsidP="002C51A8">
      <w:pPr>
        <w:spacing w:line="578" w:lineRule="exact"/>
        <w:ind w:firstLineChars="200" w:firstLine="640"/>
        <w:rPr>
          <w:rFonts w:asciiTheme="minorEastAsia" w:eastAsiaTheme="minorEastAsia" w:hAnsiTheme="minorEastAsia" w:cs="楷体"/>
          <w:color w:val="000000" w:themeColor="text1"/>
          <w:sz w:val="32"/>
          <w:szCs w:val="32"/>
        </w:rPr>
      </w:pPr>
      <w:r w:rsidRPr="0029001A">
        <w:rPr>
          <w:rFonts w:asciiTheme="minorEastAsia" w:eastAsiaTheme="minorEastAsia" w:hAnsiTheme="minorEastAsia" w:cs="楷体" w:hint="eastAsia"/>
          <w:color w:val="000000" w:themeColor="text1"/>
          <w:sz w:val="32"/>
          <w:szCs w:val="32"/>
        </w:rPr>
        <w:t>（二）部门决算中项目绩效自评结果。</w:t>
      </w:r>
    </w:p>
    <w:p w:rsidR="006452BC" w:rsidRPr="0029001A" w:rsidRDefault="002C51A8" w:rsidP="006452BC">
      <w:pPr>
        <w:ind w:firstLineChars="200" w:firstLine="640"/>
        <w:rPr>
          <w:rFonts w:asciiTheme="minorEastAsia" w:eastAsiaTheme="minorEastAsia" w:hAnsiTheme="minorEastAsia"/>
          <w:color w:val="000000" w:themeColor="text1"/>
          <w:sz w:val="32"/>
          <w:szCs w:val="32"/>
        </w:rPr>
      </w:pPr>
      <w:r w:rsidRPr="0029001A">
        <w:rPr>
          <w:rFonts w:asciiTheme="minorEastAsia" w:eastAsiaTheme="minorEastAsia" w:hAnsiTheme="minorEastAsia" w:hint="eastAsia"/>
          <w:color w:val="000000" w:themeColor="text1"/>
          <w:sz w:val="32"/>
          <w:szCs w:val="32"/>
        </w:rPr>
        <w:t>我单位</w:t>
      </w:r>
      <w:r w:rsidR="006452BC" w:rsidRPr="0029001A">
        <w:rPr>
          <w:rFonts w:asciiTheme="minorEastAsia" w:eastAsiaTheme="minorEastAsia" w:hAnsiTheme="minorEastAsia" w:hint="eastAsia"/>
          <w:color w:val="000000" w:themeColor="text1"/>
          <w:sz w:val="32"/>
          <w:szCs w:val="32"/>
        </w:rPr>
        <w:t>今年在市本级部门决算中反映“基本养老保险、职业年金补助”及“设备（装备）购置与运行维护”项目绩效自评结果。</w:t>
      </w:r>
    </w:p>
    <w:p w:rsidR="00CF141B" w:rsidRDefault="006452BC" w:rsidP="002C51A8">
      <w:pPr>
        <w:ind w:firstLineChars="200" w:firstLine="640"/>
        <w:outlineLvl w:val="0"/>
        <w:rPr>
          <w:rFonts w:asciiTheme="minorEastAsia" w:eastAsiaTheme="minorEastAsia" w:hAnsiTheme="minorEastAsia"/>
          <w:color w:val="000000" w:themeColor="text1"/>
          <w:sz w:val="32"/>
          <w:szCs w:val="32"/>
        </w:rPr>
      </w:pPr>
      <w:r w:rsidRPr="0029001A">
        <w:rPr>
          <w:rFonts w:asciiTheme="minorEastAsia" w:eastAsiaTheme="minorEastAsia" w:hAnsiTheme="minorEastAsia" w:hint="eastAsia"/>
          <w:color w:val="000000" w:themeColor="text1"/>
          <w:sz w:val="32"/>
          <w:szCs w:val="32"/>
        </w:rPr>
        <w:t>“基本养老保险、职业年金补助”项目绩效自评综述：根据年初设定的绩效目标，项目自评得分为100分。全年预算数为2725.83万元，执行数为2725.83万元，完成预算的100%。项目绩效目标完成情况如下：</w:t>
      </w:r>
    </w:p>
    <w:p w:rsidR="00FF2F46" w:rsidRDefault="00FF2F46" w:rsidP="002C51A8">
      <w:pPr>
        <w:ind w:firstLineChars="200" w:firstLine="640"/>
        <w:outlineLvl w:val="0"/>
        <w:rPr>
          <w:rFonts w:asciiTheme="minorEastAsia" w:eastAsiaTheme="minorEastAsia" w:hAnsiTheme="minorEastAsia"/>
          <w:color w:val="000000" w:themeColor="text1"/>
          <w:sz w:val="32"/>
          <w:szCs w:val="32"/>
        </w:rPr>
      </w:pPr>
    </w:p>
    <w:p w:rsidR="0029001A" w:rsidRDefault="0029001A" w:rsidP="00561BB4">
      <w:pPr>
        <w:outlineLvl w:val="0"/>
        <w:rPr>
          <w:rFonts w:asciiTheme="minorEastAsia" w:eastAsiaTheme="minorEastAsia" w:hAnsiTheme="minorEastAsia" w:hint="eastAsia"/>
          <w:color w:val="000000" w:themeColor="text1"/>
          <w:sz w:val="32"/>
          <w:szCs w:val="32"/>
        </w:rPr>
      </w:pPr>
    </w:p>
    <w:p w:rsidR="00917802" w:rsidRDefault="00917802" w:rsidP="00561BB4">
      <w:pPr>
        <w:outlineLvl w:val="0"/>
        <w:rPr>
          <w:rFonts w:asciiTheme="minorEastAsia" w:eastAsiaTheme="minorEastAsia" w:hAnsiTheme="minorEastAsia" w:hint="eastAsia"/>
          <w:color w:val="000000" w:themeColor="text1"/>
          <w:sz w:val="32"/>
          <w:szCs w:val="32"/>
        </w:rPr>
      </w:pPr>
    </w:p>
    <w:p w:rsidR="00917802" w:rsidRPr="0029001A" w:rsidRDefault="00917802" w:rsidP="00561BB4">
      <w:pPr>
        <w:outlineLvl w:val="0"/>
        <w:rPr>
          <w:rFonts w:asciiTheme="minorEastAsia" w:eastAsiaTheme="minorEastAsia" w:hAnsiTheme="minorEastAsia"/>
          <w:color w:val="000000" w:themeColor="text1"/>
          <w:sz w:val="32"/>
          <w:szCs w:val="32"/>
        </w:rPr>
      </w:pPr>
    </w:p>
    <w:tbl>
      <w:tblPr>
        <w:tblpPr w:leftFromText="180" w:rightFromText="180" w:vertAnchor="text" w:horzAnchor="page" w:tblpX="1050" w:tblpY="882"/>
        <w:tblOverlap w:val="neve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09"/>
        <w:gridCol w:w="876"/>
        <w:gridCol w:w="933"/>
        <w:gridCol w:w="3300"/>
        <w:gridCol w:w="1320"/>
        <w:gridCol w:w="1416"/>
        <w:gridCol w:w="1176"/>
      </w:tblGrid>
      <w:tr w:rsidR="006452BC" w:rsidRPr="00CF141B" w:rsidTr="00E01910">
        <w:trPr>
          <w:trHeight w:val="510"/>
        </w:trPr>
        <w:tc>
          <w:tcPr>
            <w:tcW w:w="509" w:type="dxa"/>
            <w:vMerge w:val="restart"/>
            <w:noWrap/>
            <w:vAlign w:val="center"/>
          </w:tcPr>
          <w:p w:rsidR="006452BC" w:rsidRPr="00CF141B" w:rsidRDefault="006452BC" w:rsidP="00E01910">
            <w:pPr>
              <w:pStyle w:val="TableParagraph"/>
              <w:spacing w:before="0"/>
              <w:rPr>
                <w:color w:val="000000" w:themeColor="text1"/>
                <w:sz w:val="20"/>
              </w:rPr>
            </w:pPr>
          </w:p>
          <w:p w:rsidR="006452BC" w:rsidRPr="00CF141B" w:rsidRDefault="006452BC" w:rsidP="00E01910">
            <w:pPr>
              <w:pStyle w:val="TableParagraph"/>
              <w:spacing w:before="0" w:line="187" w:lineRule="auto"/>
              <w:ind w:right="148"/>
              <w:jc w:val="center"/>
              <w:rPr>
                <w:color w:val="000000" w:themeColor="text1"/>
                <w:sz w:val="20"/>
              </w:rPr>
            </w:pPr>
            <w:r w:rsidRPr="00CF141B">
              <w:rPr>
                <w:color w:val="000000" w:themeColor="text1"/>
                <w:sz w:val="20"/>
              </w:rPr>
              <w:t>绩效指标</w:t>
            </w:r>
          </w:p>
        </w:tc>
        <w:tc>
          <w:tcPr>
            <w:tcW w:w="876" w:type="dxa"/>
            <w:noWrap/>
            <w:vAlign w:val="center"/>
          </w:tcPr>
          <w:p w:rsidR="006452BC" w:rsidRPr="00CF141B" w:rsidRDefault="006452BC" w:rsidP="00E01910">
            <w:pPr>
              <w:pStyle w:val="TableParagraph"/>
              <w:spacing w:before="16" w:line="240" w:lineRule="exact"/>
              <w:ind w:left="237" w:right="228"/>
              <w:jc w:val="center"/>
              <w:rPr>
                <w:color w:val="000000" w:themeColor="text1"/>
                <w:sz w:val="20"/>
              </w:rPr>
            </w:pPr>
            <w:r w:rsidRPr="00CF141B">
              <w:rPr>
                <w:color w:val="000000" w:themeColor="text1"/>
                <w:sz w:val="20"/>
              </w:rPr>
              <w:t>一级指标</w:t>
            </w:r>
          </w:p>
        </w:tc>
        <w:tc>
          <w:tcPr>
            <w:tcW w:w="933" w:type="dxa"/>
            <w:noWrap/>
            <w:vAlign w:val="center"/>
          </w:tcPr>
          <w:p w:rsidR="006452BC" w:rsidRPr="00CF141B" w:rsidRDefault="006452BC" w:rsidP="00E01910">
            <w:pPr>
              <w:pStyle w:val="TableParagraph"/>
              <w:spacing w:before="128"/>
              <w:ind w:left="2"/>
              <w:jc w:val="center"/>
              <w:rPr>
                <w:color w:val="000000" w:themeColor="text1"/>
                <w:sz w:val="20"/>
              </w:rPr>
            </w:pPr>
            <w:r w:rsidRPr="00CF141B">
              <w:rPr>
                <w:color w:val="000000" w:themeColor="text1"/>
                <w:sz w:val="20"/>
              </w:rPr>
              <w:t>二级指标</w:t>
            </w:r>
          </w:p>
        </w:tc>
        <w:tc>
          <w:tcPr>
            <w:tcW w:w="3300" w:type="dxa"/>
            <w:noWrap/>
            <w:vAlign w:val="center"/>
          </w:tcPr>
          <w:p w:rsidR="006452BC" w:rsidRPr="00CF141B" w:rsidRDefault="006452BC" w:rsidP="00E01910">
            <w:pPr>
              <w:pStyle w:val="TableParagraph"/>
              <w:spacing w:before="128"/>
              <w:ind w:right="2004"/>
              <w:jc w:val="center"/>
              <w:rPr>
                <w:color w:val="000000" w:themeColor="text1"/>
                <w:sz w:val="20"/>
              </w:rPr>
            </w:pPr>
            <w:r w:rsidRPr="00CF141B">
              <w:rPr>
                <w:color w:val="000000" w:themeColor="text1"/>
                <w:sz w:val="20"/>
              </w:rPr>
              <w:t>三级指标</w:t>
            </w:r>
          </w:p>
        </w:tc>
        <w:tc>
          <w:tcPr>
            <w:tcW w:w="1320" w:type="dxa"/>
            <w:noWrap/>
            <w:vAlign w:val="center"/>
          </w:tcPr>
          <w:p w:rsidR="006452BC" w:rsidRPr="00CF141B" w:rsidRDefault="006452BC" w:rsidP="00E01910">
            <w:pPr>
              <w:pStyle w:val="TableParagraph"/>
              <w:spacing w:before="128"/>
              <w:jc w:val="center"/>
              <w:rPr>
                <w:color w:val="000000" w:themeColor="text1"/>
                <w:sz w:val="20"/>
              </w:rPr>
            </w:pPr>
            <w:r w:rsidRPr="00CF141B">
              <w:rPr>
                <w:color w:val="000000" w:themeColor="text1"/>
                <w:sz w:val="20"/>
              </w:rPr>
              <w:t>年度指标值</w:t>
            </w:r>
          </w:p>
        </w:tc>
        <w:tc>
          <w:tcPr>
            <w:tcW w:w="1416" w:type="dxa"/>
            <w:noWrap/>
            <w:vAlign w:val="center"/>
          </w:tcPr>
          <w:p w:rsidR="006452BC" w:rsidRPr="00CF141B" w:rsidRDefault="006452BC" w:rsidP="00E01910">
            <w:pPr>
              <w:pStyle w:val="TableParagraph"/>
              <w:spacing w:before="128"/>
              <w:ind w:firstLineChars="100" w:firstLine="200"/>
              <w:rPr>
                <w:color w:val="000000" w:themeColor="text1"/>
                <w:sz w:val="20"/>
              </w:rPr>
            </w:pPr>
            <w:r w:rsidRPr="00CF141B">
              <w:rPr>
                <w:rFonts w:hint="eastAsia"/>
                <w:color w:val="000000" w:themeColor="text1"/>
                <w:sz w:val="20"/>
              </w:rPr>
              <w:t>实际完成值</w:t>
            </w:r>
          </w:p>
        </w:tc>
        <w:tc>
          <w:tcPr>
            <w:tcW w:w="1176" w:type="dxa"/>
            <w:noWrap/>
            <w:vAlign w:val="center"/>
          </w:tcPr>
          <w:p w:rsidR="006452BC" w:rsidRPr="00CF141B" w:rsidRDefault="006452BC" w:rsidP="00E01910">
            <w:pPr>
              <w:pStyle w:val="TableParagraph"/>
              <w:spacing w:before="128"/>
              <w:ind w:firstLineChars="200" w:firstLine="400"/>
              <w:rPr>
                <w:color w:val="000000" w:themeColor="text1"/>
                <w:sz w:val="20"/>
              </w:rPr>
            </w:pPr>
            <w:r w:rsidRPr="00CF141B">
              <w:rPr>
                <w:rFonts w:hint="eastAsia"/>
                <w:color w:val="000000" w:themeColor="text1"/>
                <w:sz w:val="20"/>
              </w:rPr>
              <w:t>得分</w:t>
            </w:r>
          </w:p>
        </w:tc>
      </w:tr>
      <w:tr w:rsidR="006452BC" w:rsidRPr="00CF141B" w:rsidTr="00E01910">
        <w:trPr>
          <w:trHeight w:val="508"/>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val="restart"/>
            <w:noWrap/>
            <w:vAlign w:val="center"/>
          </w:tcPr>
          <w:p w:rsidR="006452BC" w:rsidRPr="00CF141B" w:rsidRDefault="006452BC" w:rsidP="00E01910">
            <w:pPr>
              <w:pStyle w:val="TableParagraph"/>
              <w:spacing w:before="0" w:line="225" w:lineRule="auto"/>
              <w:ind w:right="326"/>
              <w:jc w:val="center"/>
              <w:rPr>
                <w:color w:val="000000" w:themeColor="text1"/>
                <w:sz w:val="20"/>
              </w:rPr>
            </w:pPr>
            <w:r w:rsidRPr="00CF141B">
              <w:rPr>
                <w:rFonts w:hint="eastAsia"/>
                <w:color w:val="000000" w:themeColor="text1"/>
                <w:sz w:val="20"/>
              </w:rPr>
              <w:t>产出指标</w:t>
            </w:r>
          </w:p>
        </w:tc>
        <w:tc>
          <w:tcPr>
            <w:tcW w:w="933" w:type="dxa"/>
            <w:vMerge w:val="restart"/>
            <w:noWrap/>
            <w:vAlign w:val="center"/>
          </w:tcPr>
          <w:p w:rsidR="006452BC" w:rsidRPr="00CF141B" w:rsidRDefault="006452BC" w:rsidP="00E01910">
            <w:pPr>
              <w:pStyle w:val="TableParagraph"/>
              <w:spacing w:before="0"/>
              <w:jc w:val="center"/>
              <w:rPr>
                <w:color w:val="000000" w:themeColor="text1"/>
                <w:sz w:val="20"/>
              </w:rPr>
            </w:pPr>
          </w:p>
          <w:p w:rsidR="006452BC" w:rsidRPr="00CF141B" w:rsidRDefault="006452BC" w:rsidP="00E01910">
            <w:pPr>
              <w:pStyle w:val="TableParagraph"/>
              <w:spacing w:before="150"/>
              <w:ind w:left="18"/>
              <w:jc w:val="center"/>
              <w:rPr>
                <w:color w:val="000000" w:themeColor="text1"/>
                <w:sz w:val="20"/>
              </w:rPr>
            </w:pPr>
            <w:r w:rsidRPr="00CF141B">
              <w:rPr>
                <w:rFonts w:hint="eastAsia"/>
                <w:color w:val="000000" w:themeColor="text1"/>
                <w:sz w:val="20"/>
              </w:rPr>
              <w:t>时效指标</w:t>
            </w:r>
          </w:p>
        </w:tc>
        <w:tc>
          <w:tcPr>
            <w:tcW w:w="3300" w:type="dxa"/>
            <w:noWrap/>
            <w:vAlign w:val="center"/>
          </w:tcPr>
          <w:p w:rsidR="006452BC" w:rsidRPr="00CF141B" w:rsidRDefault="006452BC" w:rsidP="00E01910">
            <w:pPr>
              <w:pStyle w:val="TableParagraph"/>
              <w:spacing w:before="14" w:line="240" w:lineRule="exact"/>
              <w:ind w:right="124"/>
              <w:jc w:val="center"/>
              <w:rPr>
                <w:color w:val="000000" w:themeColor="text1"/>
                <w:sz w:val="20"/>
              </w:rPr>
            </w:pPr>
            <w:r w:rsidRPr="00CF141B">
              <w:rPr>
                <w:rFonts w:hint="eastAsia"/>
                <w:color w:val="000000" w:themeColor="text1"/>
                <w:sz w:val="20"/>
              </w:rPr>
              <w:t>缴纳在编人员养老金保险及职业年金及时率</w:t>
            </w:r>
          </w:p>
        </w:tc>
        <w:tc>
          <w:tcPr>
            <w:tcW w:w="1320"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100%</w:t>
            </w:r>
          </w:p>
        </w:tc>
        <w:tc>
          <w:tcPr>
            <w:tcW w:w="1416"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100%</w:t>
            </w:r>
          </w:p>
        </w:tc>
        <w:tc>
          <w:tcPr>
            <w:tcW w:w="1176"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25</w:t>
            </w:r>
          </w:p>
        </w:tc>
      </w:tr>
      <w:tr w:rsidR="006452BC" w:rsidRPr="00CF141B" w:rsidTr="00E01910">
        <w:trPr>
          <w:trHeight w:val="577"/>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tcBorders>
              <w:top w:val="nil"/>
            </w:tcBorders>
            <w:noWrap/>
            <w:vAlign w:val="center"/>
          </w:tcPr>
          <w:p w:rsidR="006452BC" w:rsidRPr="00CF141B" w:rsidRDefault="006452BC" w:rsidP="00E01910">
            <w:pPr>
              <w:jc w:val="center"/>
              <w:rPr>
                <w:color w:val="000000" w:themeColor="text1"/>
                <w:sz w:val="2"/>
                <w:szCs w:val="2"/>
              </w:rPr>
            </w:pPr>
          </w:p>
        </w:tc>
        <w:tc>
          <w:tcPr>
            <w:tcW w:w="933" w:type="dxa"/>
            <w:vMerge/>
            <w:tcBorders>
              <w:top w:val="nil"/>
            </w:tcBorders>
            <w:noWrap/>
            <w:vAlign w:val="center"/>
          </w:tcPr>
          <w:p w:rsidR="006452BC" w:rsidRPr="00CF141B" w:rsidRDefault="006452BC" w:rsidP="00E01910">
            <w:pPr>
              <w:jc w:val="center"/>
              <w:rPr>
                <w:color w:val="000000" w:themeColor="text1"/>
                <w:sz w:val="2"/>
                <w:szCs w:val="2"/>
              </w:rPr>
            </w:pPr>
          </w:p>
        </w:tc>
        <w:tc>
          <w:tcPr>
            <w:tcW w:w="3300" w:type="dxa"/>
            <w:noWrap/>
            <w:vAlign w:val="center"/>
          </w:tcPr>
          <w:p w:rsidR="006452BC" w:rsidRPr="00CF141B" w:rsidRDefault="006452BC" w:rsidP="00E01910">
            <w:pPr>
              <w:pStyle w:val="TableParagraph"/>
              <w:spacing w:line="242" w:lineRule="exact"/>
              <w:jc w:val="center"/>
              <w:rPr>
                <w:color w:val="000000" w:themeColor="text1"/>
                <w:sz w:val="20"/>
              </w:rPr>
            </w:pPr>
            <w:r w:rsidRPr="00CF141B">
              <w:rPr>
                <w:rFonts w:hint="eastAsia"/>
                <w:color w:val="000000" w:themeColor="text1"/>
                <w:sz w:val="20"/>
              </w:rPr>
              <w:t>工作完成及时率</w:t>
            </w:r>
          </w:p>
        </w:tc>
        <w:tc>
          <w:tcPr>
            <w:tcW w:w="1320"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90%</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25</w:t>
            </w:r>
          </w:p>
        </w:tc>
      </w:tr>
      <w:tr w:rsidR="006452BC" w:rsidRPr="00CF141B" w:rsidTr="00E01910">
        <w:trPr>
          <w:trHeight w:val="510"/>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val="restart"/>
            <w:noWrap/>
            <w:vAlign w:val="center"/>
          </w:tcPr>
          <w:p w:rsidR="006452BC" w:rsidRPr="00CF141B" w:rsidRDefault="006452BC" w:rsidP="00E01910">
            <w:pPr>
              <w:pStyle w:val="TableParagraph"/>
              <w:spacing w:before="0"/>
              <w:jc w:val="center"/>
              <w:rPr>
                <w:rFonts w:ascii="Times New Roman"/>
                <w:color w:val="000000" w:themeColor="text1"/>
                <w:sz w:val="20"/>
              </w:rPr>
            </w:pPr>
            <w:r w:rsidRPr="00CF141B">
              <w:rPr>
                <w:rFonts w:ascii="Times New Roman" w:hint="eastAsia"/>
                <w:color w:val="000000" w:themeColor="text1"/>
                <w:sz w:val="20"/>
              </w:rPr>
              <w:t>效益指标</w:t>
            </w:r>
          </w:p>
        </w:tc>
        <w:tc>
          <w:tcPr>
            <w:tcW w:w="933" w:type="dxa"/>
            <w:vMerge w:val="restart"/>
            <w:noWrap/>
            <w:vAlign w:val="center"/>
          </w:tcPr>
          <w:p w:rsidR="006452BC" w:rsidRPr="00CF141B" w:rsidRDefault="006452BC" w:rsidP="00E01910">
            <w:pPr>
              <w:pStyle w:val="TableParagraph"/>
              <w:spacing w:before="1" w:line="225" w:lineRule="auto"/>
              <w:ind w:right="14"/>
              <w:rPr>
                <w:color w:val="000000" w:themeColor="text1"/>
                <w:sz w:val="20"/>
              </w:rPr>
            </w:pPr>
            <w:r w:rsidRPr="00CF141B">
              <w:rPr>
                <w:rFonts w:hint="eastAsia"/>
                <w:color w:val="000000" w:themeColor="text1"/>
                <w:sz w:val="20"/>
              </w:rPr>
              <w:t>社会</w:t>
            </w:r>
            <w:r w:rsidRPr="00CF141B">
              <w:rPr>
                <w:color w:val="000000" w:themeColor="text1"/>
                <w:sz w:val="20"/>
              </w:rPr>
              <w:t>效益指标</w:t>
            </w:r>
          </w:p>
        </w:tc>
        <w:tc>
          <w:tcPr>
            <w:tcW w:w="3300" w:type="dxa"/>
            <w:noWrap/>
            <w:vAlign w:val="center"/>
          </w:tcPr>
          <w:p w:rsidR="006452BC" w:rsidRPr="00CF141B" w:rsidRDefault="006452BC" w:rsidP="00E01910">
            <w:pPr>
              <w:pStyle w:val="TableParagraph"/>
              <w:spacing w:before="16" w:line="240" w:lineRule="exact"/>
              <w:ind w:left="1735" w:right="183" w:hanging="1500"/>
              <w:jc w:val="center"/>
              <w:rPr>
                <w:color w:val="000000" w:themeColor="text1"/>
                <w:sz w:val="20"/>
              </w:rPr>
            </w:pPr>
            <w:r w:rsidRPr="00CF141B">
              <w:rPr>
                <w:rFonts w:hint="eastAsia"/>
                <w:color w:val="000000" w:themeColor="text1"/>
                <w:sz w:val="20"/>
              </w:rPr>
              <w:t>缺勤率</w:t>
            </w:r>
          </w:p>
        </w:tc>
        <w:tc>
          <w:tcPr>
            <w:tcW w:w="1320" w:type="dxa"/>
            <w:noWrap/>
            <w:vAlign w:val="center"/>
          </w:tcPr>
          <w:p w:rsidR="006452BC" w:rsidRPr="00CF141B" w:rsidRDefault="006452BC" w:rsidP="00E01910">
            <w:pPr>
              <w:pStyle w:val="TableParagraph"/>
              <w:spacing w:before="128"/>
              <w:ind w:left="631"/>
              <w:rPr>
                <w:color w:val="000000" w:themeColor="text1"/>
                <w:sz w:val="20"/>
                <w:lang w:val="en-US"/>
              </w:rPr>
            </w:pPr>
            <w:r w:rsidRPr="00CF141B">
              <w:rPr>
                <w:rFonts w:hint="eastAsia"/>
                <w:color w:val="000000" w:themeColor="text1"/>
                <w:sz w:val="20"/>
                <w:lang w:val="en-US"/>
              </w:rPr>
              <w:t>5%</w:t>
            </w:r>
          </w:p>
        </w:tc>
        <w:tc>
          <w:tcPr>
            <w:tcW w:w="1416" w:type="dxa"/>
            <w:noWrap/>
            <w:vAlign w:val="center"/>
          </w:tcPr>
          <w:p w:rsidR="006452BC" w:rsidRPr="00CF141B" w:rsidRDefault="006452BC" w:rsidP="00E01910">
            <w:pPr>
              <w:pStyle w:val="TableParagraph"/>
              <w:spacing w:before="128"/>
              <w:ind w:left="631"/>
              <w:rPr>
                <w:color w:val="000000" w:themeColor="text1"/>
                <w:sz w:val="20"/>
                <w:lang w:val="en-US"/>
              </w:rPr>
            </w:pPr>
            <w:r w:rsidRPr="00CF141B">
              <w:rPr>
                <w:rFonts w:hint="eastAsia"/>
                <w:color w:val="000000" w:themeColor="text1"/>
                <w:sz w:val="20"/>
                <w:lang w:val="en-US"/>
              </w:rPr>
              <w:t>0.005%</w:t>
            </w:r>
          </w:p>
        </w:tc>
        <w:tc>
          <w:tcPr>
            <w:tcW w:w="1176" w:type="dxa"/>
            <w:noWrap/>
            <w:vAlign w:val="center"/>
          </w:tcPr>
          <w:p w:rsidR="006452BC" w:rsidRPr="00CF141B" w:rsidRDefault="006452BC" w:rsidP="00E01910">
            <w:pPr>
              <w:pStyle w:val="TableParagraph"/>
              <w:spacing w:before="128"/>
              <w:ind w:left="631"/>
              <w:rPr>
                <w:color w:val="000000" w:themeColor="text1"/>
                <w:sz w:val="20"/>
                <w:lang w:val="en-US"/>
              </w:rPr>
            </w:pPr>
            <w:r w:rsidRPr="00CF141B">
              <w:rPr>
                <w:rFonts w:hint="eastAsia"/>
                <w:color w:val="000000" w:themeColor="text1"/>
                <w:sz w:val="20"/>
                <w:lang w:val="en-US"/>
              </w:rPr>
              <w:t>20</w:t>
            </w:r>
          </w:p>
        </w:tc>
      </w:tr>
      <w:tr w:rsidR="006452BC" w:rsidRPr="00CF141B" w:rsidTr="00E01910">
        <w:trPr>
          <w:trHeight w:val="594"/>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tcBorders>
              <w:top w:val="nil"/>
            </w:tcBorders>
            <w:noWrap/>
            <w:vAlign w:val="center"/>
          </w:tcPr>
          <w:p w:rsidR="006452BC" w:rsidRPr="00CF141B" w:rsidRDefault="006452BC" w:rsidP="00E01910">
            <w:pPr>
              <w:jc w:val="center"/>
              <w:rPr>
                <w:color w:val="000000" w:themeColor="text1"/>
                <w:sz w:val="2"/>
                <w:szCs w:val="2"/>
              </w:rPr>
            </w:pPr>
          </w:p>
        </w:tc>
        <w:tc>
          <w:tcPr>
            <w:tcW w:w="933" w:type="dxa"/>
            <w:vMerge/>
            <w:tcBorders>
              <w:top w:val="nil"/>
            </w:tcBorders>
            <w:noWrap/>
            <w:vAlign w:val="center"/>
          </w:tcPr>
          <w:p w:rsidR="006452BC" w:rsidRPr="00CF141B" w:rsidRDefault="006452BC" w:rsidP="00E01910">
            <w:pPr>
              <w:jc w:val="center"/>
              <w:rPr>
                <w:color w:val="000000" w:themeColor="text1"/>
                <w:sz w:val="2"/>
                <w:szCs w:val="2"/>
              </w:rPr>
            </w:pPr>
          </w:p>
        </w:tc>
        <w:tc>
          <w:tcPr>
            <w:tcW w:w="3300" w:type="dxa"/>
            <w:noWrap/>
            <w:vAlign w:val="center"/>
          </w:tcPr>
          <w:p w:rsidR="006452BC" w:rsidRPr="00CF141B" w:rsidRDefault="006452BC" w:rsidP="00E01910">
            <w:pPr>
              <w:pStyle w:val="TableParagraph"/>
              <w:spacing w:line="242" w:lineRule="exact"/>
              <w:ind w:left="434"/>
              <w:jc w:val="center"/>
              <w:rPr>
                <w:color w:val="000000" w:themeColor="text1"/>
                <w:sz w:val="20"/>
              </w:rPr>
            </w:pPr>
            <w:r w:rsidRPr="00CF141B">
              <w:rPr>
                <w:color w:val="000000" w:themeColor="text1"/>
                <w:sz w:val="20"/>
              </w:rPr>
              <w:t>患者</w:t>
            </w:r>
            <w:r w:rsidRPr="00CF141B">
              <w:rPr>
                <w:rFonts w:hint="eastAsia"/>
                <w:color w:val="000000" w:themeColor="text1"/>
                <w:sz w:val="20"/>
              </w:rPr>
              <w:t>对职工服务</w:t>
            </w:r>
            <w:r w:rsidRPr="00CF141B">
              <w:rPr>
                <w:color w:val="000000" w:themeColor="text1"/>
                <w:sz w:val="20"/>
              </w:rPr>
              <w:t>满意度</w:t>
            </w:r>
          </w:p>
        </w:tc>
        <w:tc>
          <w:tcPr>
            <w:tcW w:w="1320"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85%</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20</w:t>
            </w:r>
          </w:p>
        </w:tc>
      </w:tr>
      <w:tr w:rsidR="006452BC" w:rsidRPr="00CF141B" w:rsidTr="00E01910">
        <w:trPr>
          <w:trHeight w:val="1004"/>
        </w:trPr>
        <w:tc>
          <w:tcPr>
            <w:tcW w:w="509" w:type="dxa"/>
            <w:vMerge/>
            <w:tcBorders>
              <w:top w:val="nil"/>
              <w:bottom w:val="nil"/>
            </w:tcBorders>
            <w:noWrap/>
          </w:tcPr>
          <w:p w:rsidR="006452BC" w:rsidRPr="00CF141B" w:rsidRDefault="006452BC" w:rsidP="00E01910">
            <w:pPr>
              <w:rPr>
                <w:color w:val="000000" w:themeColor="text1"/>
                <w:sz w:val="2"/>
                <w:szCs w:val="2"/>
              </w:rPr>
            </w:pPr>
          </w:p>
        </w:tc>
        <w:tc>
          <w:tcPr>
            <w:tcW w:w="876" w:type="dxa"/>
            <w:noWrap/>
            <w:vAlign w:val="center"/>
          </w:tcPr>
          <w:p w:rsidR="006452BC" w:rsidRPr="00CF141B" w:rsidRDefault="006452BC" w:rsidP="00E01910">
            <w:pPr>
              <w:pStyle w:val="TableParagraph"/>
              <w:spacing w:before="179" w:line="225" w:lineRule="auto"/>
              <w:ind w:left="237" w:right="90" w:hanging="101"/>
              <w:jc w:val="center"/>
              <w:rPr>
                <w:color w:val="000000" w:themeColor="text1"/>
                <w:sz w:val="20"/>
              </w:rPr>
            </w:pPr>
            <w:r w:rsidRPr="00CF141B">
              <w:rPr>
                <w:color w:val="000000" w:themeColor="text1"/>
                <w:sz w:val="20"/>
              </w:rPr>
              <w:t>满意度指标</w:t>
            </w:r>
          </w:p>
        </w:tc>
        <w:tc>
          <w:tcPr>
            <w:tcW w:w="933" w:type="dxa"/>
            <w:noWrap/>
            <w:vAlign w:val="center"/>
          </w:tcPr>
          <w:p w:rsidR="006452BC" w:rsidRPr="00CF141B" w:rsidRDefault="006452BC" w:rsidP="00E01910">
            <w:pPr>
              <w:pStyle w:val="TableParagraph"/>
              <w:spacing w:before="59" w:line="225" w:lineRule="auto"/>
              <w:ind w:left="18" w:right="14"/>
              <w:jc w:val="center"/>
              <w:rPr>
                <w:color w:val="000000" w:themeColor="text1"/>
                <w:sz w:val="20"/>
              </w:rPr>
            </w:pPr>
            <w:r w:rsidRPr="00CF141B">
              <w:rPr>
                <w:color w:val="000000" w:themeColor="text1"/>
                <w:sz w:val="20"/>
              </w:rPr>
              <w:t>服务对象满意度 指标</w:t>
            </w:r>
          </w:p>
        </w:tc>
        <w:tc>
          <w:tcPr>
            <w:tcW w:w="3300" w:type="dxa"/>
            <w:noWrap/>
            <w:vAlign w:val="center"/>
          </w:tcPr>
          <w:p w:rsidR="006452BC" w:rsidRPr="00CF141B" w:rsidRDefault="006452BC" w:rsidP="00E01910">
            <w:pPr>
              <w:pStyle w:val="TableParagraph"/>
              <w:spacing w:line="242" w:lineRule="exact"/>
              <w:jc w:val="center"/>
              <w:rPr>
                <w:color w:val="000000" w:themeColor="text1"/>
                <w:sz w:val="20"/>
              </w:rPr>
            </w:pPr>
            <w:r w:rsidRPr="00CF141B">
              <w:rPr>
                <w:color w:val="000000" w:themeColor="text1"/>
                <w:sz w:val="20"/>
              </w:rPr>
              <w:t>公立医院职工满意度</w:t>
            </w:r>
          </w:p>
        </w:tc>
        <w:tc>
          <w:tcPr>
            <w:tcW w:w="1320"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r w:rsidRPr="00CF141B">
              <w:rPr>
                <w:rFonts w:hint="eastAsia"/>
                <w:color w:val="000000" w:themeColor="text1"/>
                <w:sz w:val="20"/>
                <w:lang w:val="en-US"/>
              </w:rPr>
              <w:t>100%</w:t>
            </w:r>
          </w:p>
        </w:tc>
        <w:tc>
          <w:tcPr>
            <w:tcW w:w="1416"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r w:rsidRPr="00CF141B">
              <w:rPr>
                <w:rFonts w:hint="eastAsia"/>
                <w:color w:val="000000" w:themeColor="text1"/>
                <w:sz w:val="20"/>
                <w:lang w:val="en-US"/>
              </w:rPr>
              <w:t>100%</w:t>
            </w:r>
          </w:p>
        </w:tc>
        <w:tc>
          <w:tcPr>
            <w:tcW w:w="1176" w:type="dxa"/>
            <w:noWrap/>
            <w:vAlign w:val="center"/>
          </w:tcPr>
          <w:p w:rsidR="006452BC" w:rsidRPr="00CF141B" w:rsidRDefault="006452BC" w:rsidP="00E01910">
            <w:pPr>
              <w:pStyle w:val="TableParagraph"/>
              <w:spacing w:line="242" w:lineRule="exact"/>
              <w:ind w:right="747"/>
              <w:jc w:val="right"/>
              <w:rPr>
                <w:color w:val="000000" w:themeColor="text1"/>
                <w:sz w:val="20"/>
                <w:lang w:val="en-US"/>
              </w:rPr>
            </w:pPr>
            <w:r w:rsidRPr="00CF141B">
              <w:rPr>
                <w:rFonts w:hint="eastAsia"/>
                <w:color w:val="000000" w:themeColor="text1"/>
                <w:sz w:val="20"/>
                <w:lang w:val="en-US"/>
              </w:rPr>
              <w:t>10</w:t>
            </w:r>
          </w:p>
        </w:tc>
      </w:tr>
      <w:tr w:rsidR="006452BC" w:rsidRPr="00CF141B" w:rsidTr="00E01910">
        <w:trPr>
          <w:trHeight w:val="750"/>
        </w:trPr>
        <w:tc>
          <w:tcPr>
            <w:tcW w:w="509" w:type="dxa"/>
            <w:tcBorders>
              <w:top w:val="nil"/>
            </w:tcBorders>
            <w:noWrap/>
          </w:tcPr>
          <w:p w:rsidR="006452BC" w:rsidRPr="00CF141B" w:rsidRDefault="006452BC" w:rsidP="00E01910">
            <w:pPr>
              <w:rPr>
                <w:color w:val="000000" w:themeColor="text1"/>
                <w:sz w:val="2"/>
                <w:szCs w:val="2"/>
              </w:rPr>
            </w:pPr>
          </w:p>
        </w:tc>
        <w:tc>
          <w:tcPr>
            <w:tcW w:w="5109" w:type="dxa"/>
            <w:gridSpan w:val="3"/>
            <w:noWrap/>
            <w:vAlign w:val="center"/>
          </w:tcPr>
          <w:p w:rsidR="006452BC" w:rsidRPr="00CF141B" w:rsidRDefault="006452BC" w:rsidP="00E01910">
            <w:pPr>
              <w:pStyle w:val="TableParagraph"/>
              <w:spacing w:line="242" w:lineRule="exact"/>
              <w:jc w:val="center"/>
              <w:rPr>
                <w:color w:val="000000" w:themeColor="text1"/>
                <w:sz w:val="20"/>
              </w:rPr>
            </w:pPr>
            <w:r w:rsidRPr="00CF141B">
              <w:rPr>
                <w:rFonts w:hint="eastAsia"/>
                <w:color w:val="000000" w:themeColor="text1"/>
                <w:sz w:val="20"/>
              </w:rPr>
              <w:t>合计</w:t>
            </w:r>
          </w:p>
        </w:tc>
        <w:tc>
          <w:tcPr>
            <w:tcW w:w="1320"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p>
        </w:tc>
        <w:tc>
          <w:tcPr>
            <w:tcW w:w="1416"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p>
        </w:tc>
        <w:tc>
          <w:tcPr>
            <w:tcW w:w="1176" w:type="dxa"/>
            <w:noWrap/>
            <w:vAlign w:val="center"/>
          </w:tcPr>
          <w:p w:rsidR="006452BC" w:rsidRPr="00CF141B" w:rsidRDefault="006452BC" w:rsidP="00E01910">
            <w:pPr>
              <w:pStyle w:val="TableParagraph"/>
              <w:spacing w:line="242" w:lineRule="exact"/>
              <w:ind w:right="747"/>
              <w:jc w:val="right"/>
              <w:rPr>
                <w:color w:val="000000" w:themeColor="text1"/>
                <w:sz w:val="20"/>
                <w:lang w:val="en-US"/>
              </w:rPr>
            </w:pPr>
            <w:r w:rsidRPr="00CF141B">
              <w:rPr>
                <w:rFonts w:hint="eastAsia"/>
                <w:color w:val="000000" w:themeColor="text1"/>
                <w:sz w:val="20"/>
                <w:lang w:val="en-US"/>
              </w:rPr>
              <w:t>100</w:t>
            </w:r>
          </w:p>
        </w:tc>
      </w:tr>
    </w:tbl>
    <w:p w:rsidR="006452BC" w:rsidRPr="00CF141B" w:rsidRDefault="006452BC" w:rsidP="006452BC">
      <w:pPr>
        <w:rPr>
          <w:rFonts w:ascii="仿宋_GB2312" w:eastAsia="仿宋_GB2312"/>
          <w:color w:val="000000" w:themeColor="text1"/>
          <w:sz w:val="32"/>
          <w:szCs w:val="32"/>
        </w:rPr>
      </w:pPr>
      <w:r w:rsidRPr="00CF141B">
        <w:rPr>
          <w:rFonts w:ascii="仿宋_GB2312" w:eastAsia="仿宋_GB2312" w:hint="eastAsia"/>
          <w:color w:val="000000" w:themeColor="text1"/>
          <w:sz w:val="32"/>
          <w:szCs w:val="32"/>
        </w:rPr>
        <w:t xml:space="preserve"> “设备（装备）购置与运行维护”项目绩效自评综述：</w:t>
      </w:r>
    </w:p>
    <w:p w:rsidR="002C51A8" w:rsidRPr="001229CB" w:rsidRDefault="006452BC" w:rsidP="00561BB4">
      <w:pPr>
        <w:ind w:firstLineChars="200" w:firstLine="640"/>
        <w:outlineLvl w:val="0"/>
        <w:rPr>
          <w:rFonts w:asciiTheme="minorEastAsia" w:eastAsiaTheme="minorEastAsia" w:hAnsiTheme="minorEastAsia"/>
          <w:color w:val="000000" w:themeColor="text1"/>
          <w:sz w:val="32"/>
          <w:szCs w:val="32"/>
        </w:rPr>
      </w:pPr>
      <w:r w:rsidRPr="001229CB">
        <w:rPr>
          <w:rFonts w:asciiTheme="minorEastAsia" w:eastAsiaTheme="minorEastAsia" w:hAnsiTheme="minorEastAsia" w:hint="eastAsia"/>
          <w:color w:val="000000" w:themeColor="text1"/>
          <w:sz w:val="32"/>
          <w:szCs w:val="32"/>
        </w:rPr>
        <w:t>根据年初设定的绩效目标，项目自评得分为93分。全年预算数为3653.77万元，执行数为3653.77万元，完成预算的100%。项目绩效目标完成情况如下：</w:t>
      </w:r>
    </w:p>
    <w:tbl>
      <w:tblPr>
        <w:tblpPr w:leftFromText="180" w:rightFromText="180" w:vertAnchor="text" w:horzAnchor="page" w:tblpX="1050" w:tblpY="882"/>
        <w:tblOverlap w:val="neve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09"/>
        <w:gridCol w:w="876"/>
        <w:gridCol w:w="933"/>
        <w:gridCol w:w="3300"/>
        <w:gridCol w:w="1320"/>
        <w:gridCol w:w="1416"/>
        <w:gridCol w:w="1176"/>
        <w:gridCol w:w="1176"/>
      </w:tblGrid>
      <w:tr w:rsidR="006452BC" w:rsidRPr="00CF141B" w:rsidTr="00E01910">
        <w:trPr>
          <w:trHeight w:val="510"/>
        </w:trPr>
        <w:tc>
          <w:tcPr>
            <w:tcW w:w="509" w:type="dxa"/>
            <w:vMerge w:val="restart"/>
            <w:noWrap/>
            <w:vAlign w:val="center"/>
          </w:tcPr>
          <w:p w:rsidR="006452BC" w:rsidRPr="00CF141B" w:rsidRDefault="006452BC" w:rsidP="00E01910">
            <w:pPr>
              <w:pStyle w:val="TableParagraph"/>
              <w:spacing w:before="0"/>
              <w:rPr>
                <w:color w:val="000000" w:themeColor="text1"/>
                <w:sz w:val="20"/>
              </w:rPr>
            </w:pPr>
          </w:p>
          <w:p w:rsidR="006452BC" w:rsidRPr="00CF141B" w:rsidRDefault="006452BC" w:rsidP="00E01910">
            <w:pPr>
              <w:pStyle w:val="TableParagraph"/>
              <w:spacing w:before="0" w:line="187" w:lineRule="auto"/>
              <w:ind w:right="148"/>
              <w:jc w:val="center"/>
              <w:rPr>
                <w:color w:val="000000" w:themeColor="text1"/>
                <w:sz w:val="20"/>
              </w:rPr>
            </w:pPr>
            <w:r w:rsidRPr="00CF141B">
              <w:rPr>
                <w:color w:val="000000" w:themeColor="text1"/>
                <w:sz w:val="20"/>
              </w:rPr>
              <w:t>绩效指标</w:t>
            </w:r>
          </w:p>
        </w:tc>
        <w:tc>
          <w:tcPr>
            <w:tcW w:w="876" w:type="dxa"/>
            <w:noWrap/>
            <w:vAlign w:val="center"/>
          </w:tcPr>
          <w:p w:rsidR="006452BC" w:rsidRPr="00CF141B" w:rsidRDefault="006452BC" w:rsidP="00E01910">
            <w:pPr>
              <w:pStyle w:val="TableParagraph"/>
              <w:spacing w:before="16" w:line="240" w:lineRule="exact"/>
              <w:ind w:left="237" w:right="228"/>
              <w:jc w:val="center"/>
              <w:rPr>
                <w:color w:val="000000" w:themeColor="text1"/>
                <w:sz w:val="20"/>
              </w:rPr>
            </w:pPr>
            <w:r w:rsidRPr="00CF141B">
              <w:rPr>
                <w:color w:val="000000" w:themeColor="text1"/>
                <w:sz w:val="20"/>
              </w:rPr>
              <w:t>一级指标</w:t>
            </w:r>
          </w:p>
        </w:tc>
        <w:tc>
          <w:tcPr>
            <w:tcW w:w="933" w:type="dxa"/>
            <w:noWrap/>
            <w:vAlign w:val="center"/>
          </w:tcPr>
          <w:p w:rsidR="006452BC" w:rsidRPr="00CF141B" w:rsidRDefault="006452BC" w:rsidP="00E01910">
            <w:pPr>
              <w:pStyle w:val="TableParagraph"/>
              <w:spacing w:before="128"/>
              <w:ind w:left="2"/>
              <w:jc w:val="center"/>
              <w:rPr>
                <w:color w:val="000000" w:themeColor="text1"/>
                <w:sz w:val="20"/>
              </w:rPr>
            </w:pPr>
            <w:r w:rsidRPr="00CF141B">
              <w:rPr>
                <w:color w:val="000000" w:themeColor="text1"/>
                <w:sz w:val="20"/>
              </w:rPr>
              <w:t>二级指标</w:t>
            </w:r>
          </w:p>
        </w:tc>
        <w:tc>
          <w:tcPr>
            <w:tcW w:w="3300" w:type="dxa"/>
            <w:noWrap/>
            <w:vAlign w:val="center"/>
          </w:tcPr>
          <w:p w:rsidR="006452BC" w:rsidRPr="00CF141B" w:rsidRDefault="006452BC" w:rsidP="00E01910">
            <w:pPr>
              <w:pStyle w:val="TableParagraph"/>
              <w:spacing w:before="128"/>
              <w:ind w:right="2004"/>
              <w:jc w:val="center"/>
              <w:rPr>
                <w:color w:val="000000" w:themeColor="text1"/>
                <w:sz w:val="20"/>
              </w:rPr>
            </w:pPr>
            <w:r w:rsidRPr="00CF141B">
              <w:rPr>
                <w:color w:val="000000" w:themeColor="text1"/>
                <w:sz w:val="20"/>
              </w:rPr>
              <w:t>三级指标</w:t>
            </w:r>
          </w:p>
        </w:tc>
        <w:tc>
          <w:tcPr>
            <w:tcW w:w="1320" w:type="dxa"/>
            <w:noWrap/>
            <w:vAlign w:val="center"/>
          </w:tcPr>
          <w:p w:rsidR="006452BC" w:rsidRPr="00CF141B" w:rsidRDefault="006452BC" w:rsidP="00E01910">
            <w:pPr>
              <w:pStyle w:val="TableParagraph"/>
              <w:spacing w:before="128"/>
              <w:jc w:val="center"/>
              <w:rPr>
                <w:color w:val="000000" w:themeColor="text1"/>
                <w:sz w:val="20"/>
              </w:rPr>
            </w:pPr>
            <w:r w:rsidRPr="00CF141B">
              <w:rPr>
                <w:color w:val="000000" w:themeColor="text1"/>
                <w:sz w:val="20"/>
              </w:rPr>
              <w:t>年度指标值</w:t>
            </w:r>
          </w:p>
        </w:tc>
        <w:tc>
          <w:tcPr>
            <w:tcW w:w="1416" w:type="dxa"/>
            <w:noWrap/>
            <w:vAlign w:val="center"/>
          </w:tcPr>
          <w:p w:rsidR="006452BC" w:rsidRPr="00CF141B" w:rsidRDefault="006452BC" w:rsidP="00E01910">
            <w:pPr>
              <w:pStyle w:val="TableParagraph"/>
              <w:spacing w:before="128"/>
              <w:ind w:firstLineChars="100" w:firstLine="200"/>
              <w:rPr>
                <w:color w:val="000000" w:themeColor="text1"/>
                <w:sz w:val="20"/>
              </w:rPr>
            </w:pPr>
            <w:r w:rsidRPr="00CF141B">
              <w:rPr>
                <w:rFonts w:hint="eastAsia"/>
                <w:color w:val="000000" w:themeColor="text1"/>
                <w:sz w:val="20"/>
              </w:rPr>
              <w:t>实际完成值</w:t>
            </w:r>
          </w:p>
        </w:tc>
        <w:tc>
          <w:tcPr>
            <w:tcW w:w="1176" w:type="dxa"/>
            <w:noWrap/>
            <w:vAlign w:val="center"/>
          </w:tcPr>
          <w:p w:rsidR="006452BC" w:rsidRPr="00CF141B" w:rsidRDefault="006452BC" w:rsidP="00E01910">
            <w:pPr>
              <w:pStyle w:val="TableParagraph"/>
              <w:spacing w:before="128"/>
              <w:ind w:firstLineChars="200" w:firstLine="400"/>
              <w:rPr>
                <w:color w:val="000000" w:themeColor="text1"/>
                <w:sz w:val="20"/>
              </w:rPr>
            </w:pPr>
            <w:r w:rsidRPr="00CF141B">
              <w:rPr>
                <w:rFonts w:hint="eastAsia"/>
                <w:color w:val="000000" w:themeColor="text1"/>
                <w:sz w:val="20"/>
              </w:rPr>
              <w:t>得分</w:t>
            </w:r>
          </w:p>
        </w:tc>
        <w:tc>
          <w:tcPr>
            <w:tcW w:w="1176" w:type="dxa"/>
            <w:noWrap/>
            <w:vAlign w:val="center"/>
          </w:tcPr>
          <w:p w:rsidR="006452BC" w:rsidRPr="00CF141B" w:rsidRDefault="006452BC" w:rsidP="00E01910">
            <w:pPr>
              <w:pStyle w:val="TableParagraph"/>
              <w:spacing w:before="128"/>
              <w:ind w:firstLineChars="200" w:firstLine="400"/>
              <w:rPr>
                <w:color w:val="000000" w:themeColor="text1"/>
                <w:sz w:val="20"/>
              </w:rPr>
            </w:pPr>
          </w:p>
        </w:tc>
      </w:tr>
      <w:tr w:rsidR="006452BC" w:rsidRPr="00CF141B" w:rsidTr="00E01910">
        <w:trPr>
          <w:trHeight w:val="508"/>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val="restart"/>
            <w:noWrap/>
            <w:vAlign w:val="center"/>
          </w:tcPr>
          <w:p w:rsidR="006452BC" w:rsidRPr="00CF141B" w:rsidRDefault="006452BC" w:rsidP="00E01910">
            <w:pPr>
              <w:pStyle w:val="TableParagraph"/>
              <w:spacing w:before="0" w:line="225" w:lineRule="auto"/>
              <w:ind w:right="326"/>
              <w:jc w:val="center"/>
              <w:rPr>
                <w:color w:val="000000" w:themeColor="text1"/>
                <w:sz w:val="20"/>
              </w:rPr>
            </w:pPr>
            <w:r w:rsidRPr="00CF141B">
              <w:rPr>
                <w:rFonts w:hint="eastAsia"/>
                <w:color w:val="000000" w:themeColor="text1"/>
                <w:sz w:val="20"/>
              </w:rPr>
              <w:t>产出指标</w:t>
            </w:r>
          </w:p>
        </w:tc>
        <w:tc>
          <w:tcPr>
            <w:tcW w:w="933" w:type="dxa"/>
            <w:noWrap/>
            <w:vAlign w:val="center"/>
          </w:tcPr>
          <w:p w:rsidR="006452BC" w:rsidRPr="00CF141B" w:rsidRDefault="006452BC" w:rsidP="00E01910">
            <w:pPr>
              <w:pStyle w:val="TableParagraph"/>
              <w:spacing w:before="150"/>
              <w:ind w:left="18"/>
              <w:jc w:val="center"/>
              <w:rPr>
                <w:color w:val="000000" w:themeColor="text1"/>
                <w:sz w:val="20"/>
              </w:rPr>
            </w:pPr>
            <w:r w:rsidRPr="00CF141B">
              <w:rPr>
                <w:rFonts w:hint="eastAsia"/>
                <w:color w:val="000000" w:themeColor="text1"/>
                <w:sz w:val="20"/>
              </w:rPr>
              <w:t>质量指标</w:t>
            </w:r>
          </w:p>
        </w:tc>
        <w:tc>
          <w:tcPr>
            <w:tcW w:w="3300" w:type="dxa"/>
            <w:noWrap/>
            <w:vAlign w:val="center"/>
          </w:tcPr>
          <w:p w:rsidR="006452BC" w:rsidRPr="00CF141B" w:rsidRDefault="006452BC" w:rsidP="00E01910">
            <w:pPr>
              <w:pStyle w:val="TableParagraph"/>
              <w:spacing w:before="14" w:line="240" w:lineRule="exact"/>
              <w:ind w:right="124"/>
              <w:jc w:val="center"/>
              <w:rPr>
                <w:color w:val="000000" w:themeColor="text1"/>
                <w:sz w:val="20"/>
              </w:rPr>
            </w:pPr>
            <w:r w:rsidRPr="00CF141B">
              <w:rPr>
                <w:rFonts w:hint="eastAsia"/>
                <w:color w:val="000000" w:themeColor="text1"/>
                <w:sz w:val="20"/>
              </w:rPr>
              <w:t>医疗设备验收合格率</w:t>
            </w:r>
          </w:p>
        </w:tc>
        <w:tc>
          <w:tcPr>
            <w:tcW w:w="1320"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90%</w:t>
            </w:r>
          </w:p>
        </w:tc>
        <w:tc>
          <w:tcPr>
            <w:tcW w:w="1416"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100%</w:t>
            </w:r>
          </w:p>
        </w:tc>
        <w:tc>
          <w:tcPr>
            <w:tcW w:w="1176"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13</w:t>
            </w:r>
          </w:p>
        </w:tc>
        <w:tc>
          <w:tcPr>
            <w:tcW w:w="1176" w:type="dxa"/>
            <w:noWrap/>
            <w:vAlign w:val="center"/>
          </w:tcPr>
          <w:p w:rsidR="006452BC" w:rsidRPr="00CF141B" w:rsidRDefault="006452BC" w:rsidP="00E01910">
            <w:pPr>
              <w:pStyle w:val="TableParagraph"/>
              <w:spacing w:before="126"/>
              <w:ind w:left="631"/>
              <w:rPr>
                <w:color w:val="000000" w:themeColor="text1"/>
                <w:sz w:val="20"/>
                <w:lang w:val="en-US"/>
              </w:rPr>
            </w:pPr>
          </w:p>
        </w:tc>
      </w:tr>
      <w:tr w:rsidR="006452BC" w:rsidRPr="00CF141B" w:rsidTr="00E01910">
        <w:trPr>
          <w:trHeight w:val="508"/>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noWrap/>
            <w:vAlign w:val="center"/>
          </w:tcPr>
          <w:p w:rsidR="006452BC" w:rsidRPr="00CF141B" w:rsidRDefault="006452BC" w:rsidP="00E01910">
            <w:pPr>
              <w:pStyle w:val="TableParagraph"/>
              <w:spacing w:before="0" w:line="225" w:lineRule="auto"/>
              <w:ind w:right="326"/>
              <w:jc w:val="center"/>
              <w:rPr>
                <w:color w:val="000000" w:themeColor="text1"/>
                <w:sz w:val="20"/>
              </w:rPr>
            </w:pPr>
          </w:p>
        </w:tc>
        <w:tc>
          <w:tcPr>
            <w:tcW w:w="933" w:type="dxa"/>
            <w:vMerge w:val="restart"/>
            <w:noWrap/>
            <w:vAlign w:val="center"/>
          </w:tcPr>
          <w:p w:rsidR="006452BC" w:rsidRPr="00CF141B" w:rsidRDefault="006452BC" w:rsidP="00E01910">
            <w:pPr>
              <w:pStyle w:val="TableParagraph"/>
              <w:spacing w:before="0"/>
              <w:jc w:val="center"/>
              <w:rPr>
                <w:color w:val="000000" w:themeColor="text1"/>
                <w:sz w:val="20"/>
              </w:rPr>
            </w:pPr>
          </w:p>
          <w:p w:rsidR="006452BC" w:rsidRPr="00CF141B" w:rsidRDefault="006452BC" w:rsidP="00E01910">
            <w:pPr>
              <w:pStyle w:val="TableParagraph"/>
              <w:spacing w:before="150"/>
              <w:ind w:left="18"/>
              <w:jc w:val="center"/>
              <w:rPr>
                <w:color w:val="000000" w:themeColor="text1"/>
                <w:sz w:val="20"/>
              </w:rPr>
            </w:pPr>
            <w:r w:rsidRPr="00CF141B">
              <w:rPr>
                <w:rFonts w:hint="eastAsia"/>
                <w:color w:val="000000" w:themeColor="text1"/>
                <w:sz w:val="20"/>
              </w:rPr>
              <w:t>时效指标</w:t>
            </w:r>
          </w:p>
        </w:tc>
        <w:tc>
          <w:tcPr>
            <w:tcW w:w="3300" w:type="dxa"/>
            <w:noWrap/>
            <w:vAlign w:val="center"/>
          </w:tcPr>
          <w:p w:rsidR="006452BC" w:rsidRPr="00CF141B" w:rsidRDefault="006452BC" w:rsidP="00E01910">
            <w:pPr>
              <w:pStyle w:val="TableParagraph"/>
              <w:spacing w:before="14" w:line="240" w:lineRule="exact"/>
              <w:ind w:right="124"/>
              <w:jc w:val="center"/>
              <w:rPr>
                <w:color w:val="000000" w:themeColor="text1"/>
                <w:sz w:val="20"/>
              </w:rPr>
            </w:pPr>
            <w:r w:rsidRPr="00CF141B">
              <w:rPr>
                <w:rFonts w:hint="eastAsia"/>
                <w:color w:val="000000" w:themeColor="text1"/>
                <w:sz w:val="20"/>
              </w:rPr>
              <w:t>医疗设备购置完工率</w:t>
            </w:r>
          </w:p>
        </w:tc>
        <w:tc>
          <w:tcPr>
            <w:tcW w:w="1320"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100%</w:t>
            </w:r>
          </w:p>
        </w:tc>
        <w:tc>
          <w:tcPr>
            <w:tcW w:w="1176" w:type="dxa"/>
            <w:noWrap/>
            <w:vAlign w:val="center"/>
          </w:tcPr>
          <w:p w:rsidR="006452BC" w:rsidRPr="00CF141B" w:rsidRDefault="006452BC" w:rsidP="00E01910">
            <w:pPr>
              <w:pStyle w:val="TableParagraph"/>
              <w:spacing w:before="126"/>
              <w:ind w:left="631"/>
              <w:rPr>
                <w:color w:val="000000" w:themeColor="text1"/>
                <w:sz w:val="20"/>
                <w:lang w:val="en-US"/>
              </w:rPr>
            </w:pPr>
            <w:r w:rsidRPr="00CF141B">
              <w:rPr>
                <w:rFonts w:hint="eastAsia"/>
                <w:color w:val="000000" w:themeColor="text1"/>
                <w:sz w:val="20"/>
                <w:lang w:val="en-US"/>
              </w:rPr>
              <w:t>13</w:t>
            </w:r>
          </w:p>
        </w:tc>
        <w:tc>
          <w:tcPr>
            <w:tcW w:w="1176" w:type="dxa"/>
            <w:noWrap/>
            <w:vAlign w:val="center"/>
          </w:tcPr>
          <w:p w:rsidR="006452BC" w:rsidRPr="00CF141B" w:rsidRDefault="006452BC" w:rsidP="00E01910">
            <w:pPr>
              <w:pStyle w:val="TableParagraph"/>
              <w:spacing w:before="126"/>
              <w:ind w:left="631"/>
              <w:rPr>
                <w:color w:val="000000" w:themeColor="text1"/>
                <w:sz w:val="20"/>
                <w:lang w:val="en-US"/>
              </w:rPr>
            </w:pPr>
          </w:p>
        </w:tc>
      </w:tr>
      <w:tr w:rsidR="006452BC" w:rsidRPr="00CF141B" w:rsidTr="00E01910">
        <w:trPr>
          <w:trHeight w:val="577"/>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noWrap/>
            <w:vAlign w:val="center"/>
          </w:tcPr>
          <w:p w:rsidR="006452BC" w:rsidRPr="00CF141B" w:rsidRDefault="006452BC" w:rsidP="00E01910">
            <w:pPr>
              <w:jc w:val="center"/>
              <w:rPr>
                <w:color w:val="000000" w:themeColor="text1"/>
                <w:sz w:val="2"/>
                <w:szCs w:val="2"/>
              </w:rPr>
            </w:pPr>
          </w:p>
        </w:tc>
        <w:tc>
          <w:tcPr>
            <w:tcW w:w="933" w:type="dxa"/>
            <w:vMerge/>
            <w:tcBorders>
              <w:top w:val="nil"/>
            </w:tcBorders>
            <w:noWrap/>
            <w:vAlign w:val="center"/>
          </w:tcPr>
          <w:p w:rsidR="006452BC" w:rsidRPr="00CF141B" w:rsidRDefault="006452BC" w:rsidP="00E01910">
            <w:pPr>
              <w:jc w:val="center"/>
              <w:rPr>
                <w:color w:val="000000" w:themeColor="text1"/>
                <w:sz w:val="2"/>
                <w:szCs w:val="2"/>
              </w:rPr>
            </w:pPr>
          </w:p>
        </w:tc>
        <w:tc>
          <w:tcPr>
            <w:tcW w:w="3300" w:type="dxa"/>
            <w:noWrap/>
            <w:vAlign w:val="center"/>
          </w:tcPr>
          <w:p w:rsidR="006452BC" w:rsidRPr="00CF141B" w:rsidRDefault="006452BC" w:rsidP="00E01910">
            <w:pPr>
              <w:pStyle w:val="TableParagraph"/>
              <w:spacing w:line="242" w:lineRule="exact"/>
              <w:jc w:val="center"/>
              <w:rPr>
                <w:color w:val="000000" w:themeColor="text1"/>
                <w:sz w:val="20"/>
              </w:rPr>
            </w:pPr>
            <w:r w:rsidRPr="00CF141B">
              <w:rPr>
                <w:rFonts w:hint="eastAsia"/>
                <w:color w:val="000000" w:themeColor="text1"/>
                <w:sz w:val="20"/>
              </w:rPr>
              <w:t>就诊及时率</w:t>
            </w:r>
          </w:p>
        </w:tc>
        <w:tc>
          <w:tcPr>
            <w:tcW w:w="1320"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95%</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9</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p>
        </w:tc>
      </w:tr>
      <w:tr w:rsidR="006452BC" w:rsidRPr="00CF141B" w:rsidTr="00E01910">
        <w:trPr>
          <w:trHeight w:val="577"/>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noWrap/>
            <w:vAlign w:val="center"/>
          </w:tcPr>
          <w:p w:rsidR="006452BC" w:rsidRPr="00CF141B" w:rsidRDefault="006452BC" w:rsidP="00E01910">
            <w:pPr>
              <w:jc w:val="center"/>
              <w:rPr>
                <w:color w:val="000000" w:themeColor="text1"/>
                <w:sz w:val="2"/>
                <w:szCs w:val="2"/>
              </w:rPr>
            </w:pPr>
          </w:p>
        </w:tc>
        <w:tc>
          <w:tcPr>
            <w:tcW w:w="933" w:type="dxa"/>
            <w:vMerge/>
            <w:tcBorders>
              <w:top w:val="nil"/>
            </w:tcBorders>
            <w:noWrap/>
            <w:vAlign w:val="center"/>
          </w:tcPr>
          <w:p w:rsidR="006452BC" w:rsidRPr="00CF141B" w:rsidRDefault="006452BC" w:rsidP="00E01910">
            <w:pPr>
              <w:jc w:val="center"/>
              <w:rPr>
                <w:color w:val="000000" w:themeColor="text1"/>
                <w:sz w:val="2"/>
                <w:szCs w:val="2"/>
              </w:rPr>
            </w:pPr>
          </w:p>
        </w:tc>
        <w:tc>
          <w:tcPr>
            <w:tcW w:w="3300" w:type="dxa"/>
            <w:noWrap/>
            <w:vAlign w:val="center"/>
          </w:tcPr>
          <w:p w:rsidR="006452BC" w:rsidRPr="00CF141B" w:rsidRDefault="006452BC" w:rsidP="00E01910">
            <w:pPr>
              <w:pStyle w:val="TableParagraph"/>
              <w:spacing w:line="242" w:lineRule="exact"/>
              <w:jc w:val="center"/>
              <w:rPr>
                <w:color w:val="000000" w:themeColor="text1"/>
                <w:sz w:val="20"/>
              </w:rPr>
            </w:pPr>
            <w:r w:rsidRPr="00CF141B">
              <w:rPr>
                <w:rFonts w:hint="eastAsia"/>
                <w:color w:val="000000" w:themeColor="text1"/>
                <w:sz w:val="20"/>
              </w:rPr>
              <w:t>医疗设备投入使用及时率</w:t>
            </w:r>
          </w:p>
        </w:tc>
        <w:tc>
          <w:tcPr>
            <w:tcW w:w="1320"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100%</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13</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p>
        </w:tc>
      </w:tr>
      <w:tr w:rsidR="006452BC" w:rsidRPr="00CF141B" w:rsidTr="00E01910">
        <w:trPr>
          <w:trHeight w:val="510"/>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val="restart"/>
            <w:noWrap/>
            <w:vAlign w:val="center"/>
          </w:tcPr>
          <w:p w:rsidR="006452BC" w:rsidRPr="00CF141B" w:rsidRDefault="006452BC" w:rsidP="00E01910">
            <w:pPr>
              <w:pStyle w:val="TableParagraph"/>
              <w:spacing w:before="0"/>
              <w:jc w:val="center"/>
              <w:rPr>
                <w:rFonts w:ascii="Times New Roman"/>
                <w:color w:val="000000" w:themeColor="text1"/>
                <w:sz w:val="20"/>
              </w:rPr>
            </w:pPr>
            <w:r w:rsidRPr="00CF141B">
              <w:rPr>
                <w:rFonts w:ascii="Times New Roman" w:hint="eastAsia"/>
                <w:color w:val="000000" w:themeColor="text1"/>
                <w:sz w:val="20"/>
              </w:rPr>
              <w:t>效益指标</w:t>
            </w:r>
          </w:p>
        </w:tc>
        <w:tc>
          <w:tcPr>
            <w:tcW w:w="933" w:type="dxa"/>
            <w:vMerge w:val="restart"/>
            <w:noWrap/>
            <w:vAlign w:val="center"/>
          </w:tcPr>
          <w:p w:rsidR="006452BC" w:rsidRPr="00CF141B" w:rsidRDefault="006452BC" w:rsidP="00E01910">
            <w:pPr>
              <w:pStyle w:val="TableParagraph"/>
              <w:spacing w:before="1" w:line="225" w:lineRule="auto"/>
              <w:ind w:right="14"/>
              <w:rPr>
                <w:color w:val="000000" w:themeColor="text1"/>
                <w:sz w:val="20"/>
              </w:rPr>
            </w:pPr>
            <w:r w:rsidRPr="00CF141B">
              <w:rPr>
                <w:rFonts w:hint="eastAsia"/>
                <w:color w:val="000000" w:themeColor="text1"/>
                <w:sz w:val="20"/>
              </w:rPr>
              <w:t>社会</w:t>
            </w:r>
            <w:r w:rsidRPr="00CF141B">
              <w:rPr>
                <w:color w:val="000000" w:themeColor="text1"/>
                <w:sz w:val="20"/>
              </w:rPr>
              <w:t>效益指标</w:t>
            </w:r>
          </w:p>
        </w:tc>
        <w:tc>
          <w:tcPr>
            <w:tcW w:w="3300" w:type="dxa"/>
            <w:noWrap/>
            <w:vAlign w:val="center"/>
          </w:tcPr>
          <w:p w:rsidR="006452BC" w:rsidRPr="00CF141B" w:rsidRDefault="006452BC" w:rsidP="00E01910">
            <w:pPr>
              <w:pStyle w:val="TableParagraph"/>
              <w:spacing w:before="16" w:line="240" w:lineRule="exact"/>
              <w:ind w:left="1735" w:right="183" w:hanging="1500"/>
              <w:jc w:val="center"/>
              <w:rPr>
                <w:color w:val="000000" w:themeColor="text1"/>
                <w:sz w:val="20"/>
              </w:rPr>
            </w:pPr>
            <w:r w:rsidRPr="00CF141B">
              <w:rPr>
                <w:rFonts w:hint="eastAsia"/>
                <w:color w:val="000000" w:themeColor="text1"/>
                <w:sz w:val="20"/>
              </w:rPr>
              <w:t>门诊患者就医好转率</w:t>
            </w:r>
          </w:p>
        </w:tc>
        <w:tc>
          <w:tcPr>
            <w:tcW w:w="1320" w:type="dxa"/>
            <w:noWrap/>
            <w:vAlign w:val="center"/>
          </w:tcPr>
          <w:p w:rsidR="006452BC" w:rsidRPr="00CF141B" w:rsidRDefault="006452BC" w:rsidP="00E01910">
            <w:pPr>
              <w:pStyle w:val="TableParagraph"/>
              <w:spacing w:before="128"/>
              <w:ind w:left="631"/>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before="128"/>
              <w:ind w:left="631"/>
              <w:rPr>
                <w:color w:val="000000" w:themeColor="text1"/>
                <w:sz w:val="20"/>
                <w:lang w:val="en-US"/>
              </w:rPr>
            </w:pPr>
            <w:r w:rsidRPr="00CF141B">
              <w:rPr>
                <w:rFonts w:hint="eastAsia"/>
                <w:color w:val="000000" w:themeColor="text1"/>
                <w:sz w:val="20"/>
                <w:lang w:val="en-US"/>
              </w:rPr>
              <w:t>90%</w:t>
            </w:r>
          </w:p>
        </w:tc>
        <w:tc>
          <w:tcPr>
            <w:tcW w:w="1176" w:type="dxa"/>
            <w:noWrap/>
            <w:vAlign w:val="center"/>
          </w:tcPr>
          <w:p w:rsidR="006452BC" w:rsidRPr="00CF141B" w:rsidRDefault="006452BC" w:rsidP="00E01910">
            <w:pPr>
              <w:pStyle w:val="TableParagraph"/>
              <w:spacing w:before="128"/>
              <w:ind w:left="631"/>
              <w:rPr>
                <w:color w:val="000000" w:themeColor="text1"/>
                <w:sz w:val="20"/>
                <w:lang w:val="en-US"/>
              </w:rPr>
            </w:pPr>
            <w:r w:rsidRPr="00CF141B">
              <w:rPr>
                <w:rFonts w:hint="eastAsia"/>
                <w:color w:val="000000" w:themeColor="text1"/>
                <w:sz w:val="20"/>
                <w:lang w:val="en-US"/>
              </w:rPr>
              <w:t>15</w:t>
            </w:r>
          </w:p>
        </w:tc>
        <w:tc>
          <w:tcPr>
            <w:tcW w:w="1176" w:type="dxa"/>
            <w:noWrap/>
            <w:vAlign w:val="center"/>
          </w:tcPr>
          <w:p w:rsidR="006452BC" w:rsidRPr="00CF141B" w:rsidRDefault="006452BC" w:rsidP="00E01910">
            <w:pPr>
              <w:pStyle w:val="TableParagraph"/>
              <w:spacing w:before="128"/>
              <w:ind w:left="631"/>
              <w:rPr>
                <w:color w:val="000000" w:themeColor="text1"/>
                <w:sz w:val="20"/>
                <w:lang w:val="en-US"/>
              </w:rPr>
            </w:pPr>
          </w:p>
        </w:tc>
      </w:tr>
      <w:tr w:rsidR="006452BC" w:rsidRPr="00CF141B" w:rsidTr="00E01910">
        <w:trPr>
          <w:trHeight w:val="594"/>
        </w:trPr>
        <w:tc>
          <w:tcPr>
            <w:tcW w:w="509" w:type="dxa"/>
            <w:vMerge/>
            <w:tcBorders>
              <w:top w:val="nil"/>
            </w:tcBorders>
            <w:noWrap/>
          </w:tcPr>
          <w:p w:rsidR="006452BC" w:rsidRPr="00CF141B" w:rsidRDefault="006452BC" w:rsidP="00E01910">
            <w:pPr>
              <w:rPr>
                <w:color w:val="000000" w:themeColor="text1"/>
                <w:sz w:val="2"/>
                <w:szCs w:val="2"/>
              </w:rPr>
            </w:pPr>
          </w:p>
        </w:tc>
        <w:tc>
          <w:tcPr>
            <w:tcW w:w="876" w:type="dxa"/>
            <w:vMerge/>
            <w:tcBorders>
              <w:top w:val="nil"/>
            </w:tcBorders>
            <w:noWrap/>
            <w:vAlign w:val="center"/>
          </w:tcPr>
          <w:p w:rsidR="006452BC" w:rsidRPr="00CF141B" w:rsidRDefault="006452BC" w:rsidP="00E01910">
            <w:pPr>
              <w:jc w:val="center"/>
              <w:rPr>
                <w:color w:val="000000" w:themeColor="text1"/>
                <w:sz w:val="2"/>
                <w:szCs w:val="2"/>
              </w:rPr>
            </w:pPr>
          </w:p>
        </w:tc>
        <w:tc>
          <w:tcPr>
            <w:tcW w:w="933" w:type="dxa"/>
            <w:vMerge/>
            <w:tcBorders>
              <w:top w:val="nil"/>
            </w:tcBorders>
            <w:noWrap/>
            <w:vAlign w:val="center"/>
          </w:tcPr>
          <w:p w:rsidR="006452BC" w:rsidRPr="00CF141B" w:rsidRDefault="006452BC" w:rsidP="00E01910">
            <w:pPr>
              <w:jc w:val="center"/>
              <w:rPr>
                <w:color w:val="000000" w:themeColor="text1"/>
                <w:sz w:val="2"/>
                <w:szCs w:val="2"/>
              </w:rPr>
            </w:pPr>
          </w:p>
        </w:tc>
        <w:tc>
          <w:tcPr>
            <w:tcW w:w="3300" w:type="dxa"/>
            <w:noWrap/>
            <w:vAlign w:val="center"/>
          </w:tcPr>
          <w:p w:rsidR="006452BC" w:rsidRPr="00CF141B" w:rsidRDefault="006452BC" w:rsidP="00E01910">
            <w:pPr>
              <w:pStyle w:val="TableParagraph"/>
              <w:spacing w:line="242" w:lineRule="exact"/>
              <w:ind w:left="434"/>
              <w:jc w:val="center"/>
              <w:rPr>
                <w:color w:val="000000" w:themeColor="text1"/>
                <w:sz w:val="20"/>
              </w:rPr>
            </w:pPr>
            <w:r w:rsidRPr="00CF141B">
              <w:rPr>
                <w:rFonts w:hint="eastAsia"/>
                <w:color w:val="000000" w:themeColor="text1"/>
                <w:sz w:val="20"/>
              </w:rPr>
              <w:t>住院病人治愈率</w:t>
            </w:r>
          </w:p>
        </w:tc>
        <w:tc>
          <w:tcPr>
            <w:tcW w:w="1320"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90%</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r w:rsidRPr="00CF141B">
              <w:rPr>
                <w:rFonts w:hint="eastAsia"/>
                <w:color w:val="000000" w:themeColor="text1"/>
                <w:sz w:val="20"/>
                <w:lang w:val="en-US"/>
              </w:rPr>
              <w:t>15</w:t>
            </w:r>
          </w:p>
        </w:tc>
        <w:tc>
          <w:tcPr>
            <w:tcW w:w="1176" w:type="dxa"/>
            <w:noWrap/>
            <w:vAlign w:val="center"/>
          </w:tcPr>
          <w:p w:rsidR="006452BC" w:rsidRPr="00CF141B" w:rsidRDefault="006452BC" w:rsidP="00E01910">
            <w:pPr>
              <w:pStyle w:val="TableParagraph"/>
              <w:spacing w:line="242" w:lineRule="exact"/>
              <w:ind w:left="631"/>
              <w:rPr>
                <w:color w:val="000000" w:themeColor="text1"/>
                <w:sz w:val="20"/>
                <w:lang w:val="en-US"/>
              </w:rPr>
            </w:pPr>
          </w:p>
        </w:tc>
      </w:tr>
      <w:tr w:rsidR="006452BC" w:rsidRPr="00CF141B" w:rsidTr="00E01910">
        <w:trPr>
          <w:trHeight w:val="1004"/>
        </w:trPr>
        <w:tc>
          <w:tcPr>
            <w:tcW w:w="509" w:type="dxa"/>
            <w:vMerge/>
            <w:tcBorders>
              <w:top w:val="nil"/>
              <w:bottom w:val="nil"/>
            </w:tcBorders>
            <w:noWrap/>
          </w:tcPr>
          <w:p w:rsidR="006452BC" w:rsidRPr="00CF141B" w:rsidRDefault="006452BC" w:rsidP="00E01910">
            <w:pPr>
              <w:rPr>
                <w:color w:val="000000" w:themeColor="text1"/>
                <w:sz w:val="2"/>
                <w:szCs w:val="2"/>
              </w:rPr>
            </w:pPr>
          </w:p>
        </w:tc>
        <w:tc>
          <w:tcPr>
            <w:tcW w:w="876" w:type="dxa"/>
            <w:noWrap/>
            <w:vAlign w:val="center"/>
          </w:tcPr>
          <w:p w:rsidR="006452BC" w:rsidRPr="00CF141B" w:rsidRDefault="006452BC" w:rsidP="00E01910">
            <w:pPr>
              <w:pStyle w:val="TableParagraph"/>
              <w:spacing w:before="179" w:line="225" w:lineRule="auto"/>
              <w:ind w:left="237" w:right="90" w:hanging="101"/>
              <w:jc w:val="center"/>
              <w:rPr>
                <w:color w:val="000000" w:themeColor="text1"/>
                <w:sz w:val="20"/>
              </w:rPr>
            </w:pPr>
            <w:r w:rsidRPr="00CF141B">
              <w:rPr>
                <w:color w:val="000000" w:themeColor="text1"/>
                <w:sz w:val="20"/>
              </w:rPr>
              <w:t>满意度指标</w:t>
            </w:r>
          </w:p>
        </w:tc>
        <w:tc>
          <w:tcPr>
            <w:tcW w:w="933" w:type="dxa"/>
            <w:noWrap/>
            <w:vAlign w:val="center"/>
          </w:tcPr>
          <w:p w:rsidR="006452BC" w:rsidRPr="00CF141B" w:rsidRDefault="006452BC" w:rsidP="00E01910">
            <w:pPr>
              <w:pStyle w:val="TableParagraph"/>
              <w:spacing w:before="59" w:line="225" w:lineRule="auto"/>
              <w:ind w:left="18" w:right="14"/>
              <w:jc w:val="center"/>
              <w:rPr>
                <w:color w:val="000000" w:themeColor="text1"/>
                <w:sz w:val="20"/>
              </w:rPr>
            </w:pPr>
            <w:r w:rsidRPr="00CF141B">
              <w:rPr>
                <w:color w:val="000000" w:themeColor="text1"/>
                <w:sz w:val="20"/>
              </w:rPr>
              <w:t>服务对象满意度 指标</w:t>
            </w:r>
          </w:p>
        </w:tc>
        <w:tc>
          <w:tcPr>
            <w:tcW w:w="3300" w:type="dxa"/>
            <w:noWrap/>
            <w:vAlign w:val="center"/>
          </w:tcPr>
          <w:p w:rsidR="006452BC" w:rsidRPr="00CF141B" w:rsidRDefault="006452BC" w:rsidP="00E01910">
            <w:pPr>
              <w:pStyle w:val="TableParagraph"/>
              <w:spacing w:line="242" w:lineRule="exact"/>
              <w:jc w:val="center"/>
              <w:rPr>
                <w:color w:val="000000" w:themeColor="text1"/>
                <w:sz w:val="20"/>
              </w:rPr>
            </w:pPr>
            <w:r w:rsidRPr="00CF141B">
              <w:rPr>
                <w:rFonts w:hint="eastAsia"/>
                <w:color w:val="000000" w:themeColor="text1"/>
                <w:sz w:val="20"/>
              </w:rPr>
              <w:t>患者满意度</w:t>
            </w:r>
          </w:p>
        </w:tc>
        <w:tc>
          <w:tcPr>
            <w:tcW w:w="1320"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r w:rsidRPr="00CF141B">
              <w:rPr>
                <w:rFonts w:hint="eastAsia"/>
                <w:color w:val="000000" w:themeColor="text1"/>
                <w:sz w:val="20"/>
                <w:lang w:val="en-US"/>
              </w:rPr>
              <w:t>80%</w:t>
            </w:r>
          </w:p>
        </w:tc>
        <w:tc>
          <w:tcPr>
            <w:tcW w:w="1416"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r w:rsidRPr="00CF141B">
              <w:rPr>
                <w:rFonts w:hint="eastAsia"/>
                <w:color w:val="000000" w:themeColor="text1"/>
                <w:sz w:val="20"/>
                <w:lang w:val="en-US"/>
              </w:rPr>
              <w:t>90%</w:t>
            </w:r>
          </w:p>
        </w:tc>
        <w:tc>
          <w:tcPr>
            <w:tcW w:w="1176" w:type="dxa"/>
            <w:noWrap/>
            <w:vAlign w:val="center"/>
          </w:tcPr>
          <w:p w:rsidR="006452BC" w:rsidRPr="00CF141B" w:rsidRDefault="006452BC" w:rsidP="00E01910">
            <w:pPr>
              <w:pStyle w:val="TableParagraph"/>
              <w:spacing w:line="242" w:lineRule="exact"/>
              <w:ind w:right="747"/>
              <w:jc w:val="right"/>
              <w:rPr>
                <w:color w:val="000000" w:themeColor="text1"/>
                <w:sz w:val="20"/>
                <w:lang w:val="en-US"/>
              </w:rPr>
            </w:pPr>
            <w:r w:rsidRPr="00CF141B">
              <w:rPr>
                <w:rFonts w:hint="eastAsia"/>
                <w:color w:val="000000" w:themeColor="text1"/>
                <w:sz w:val="20"/>
                <w:lang w:val="en-US"/>
              </w:rPr>
              <w:t>15</w:t>
            </w:r>
          </w:p>
        </w:tc>
        <w:tc>
          <w:tcPr>
            <w:tcW w:w="1176" w:type="dxa"/>
            <w:noWrap/>
            <w:vAlign w:val="center"/>
          </w:tcPr>
          <w:p w:rsidR="006452BC" w:rsidRPr="00CF141B" w:rsidRDefault="006452BC" w:rsidP="00E01910">
            <w:pPr>
              <w:pStyle w:val="TableParagraph"/>
              <w:spacing w:line="242" w:lineRule="exact"/>
              <w:ind w:right="747"/>
              <w:jc w:val="right"/>
              <w:rPr>
                <w:color w:val="000000" w:themeColor="text1"/>
                <w:sz w:val="20"/>
                <w:lang w:val="en-US"/>
              </w:rPr>
            </w:pPr>
          </w:p>
        </w:tc>
      </w:tr>
      <w:tr w:rsidR="006452BC" w:rsidRPr="00CF141B" w:rsidTr="00E01910">
        <w:trPr>
          <w:trHeight w:val="750"/>
        </w:trPr>
        <w:tc>
          <w:tcPr>
            <w:tcW w:w="509" w:type="dxa"/>
            <w:tcBorders>
              <w:top w:val="nil"/>
            </w:tcBorders>
            <w:noWrap/>
          </w:tcPr>
          <w:p w:rsidR="006452BC" w:rsidRPr="00CF141B" w:rsidRDefault="006452BC" w:rsidP="00E01910">
            <w:pPr>
              <w:rPr>
                <w:color w:val="000000" w:themeColor="text1"/>
                <w:sz w:val="2"/>
                <w:szCs w:val="2"/>
              </w:rPr>
            </w:pPr>
          </w:p>
        </w:tc>
        <w:tc>
          <w:tcPr>
            <w:tcW w:w="5109" w:type="dxa"/>
            <w:gridSpan w:val="3"/>
            <w:noWrap/>
            <w:vAlign w:val="center"/>
          </w:tcPr>
          <w:p w:rsidR="006452BC" w:rsidRPr="00CF141B" w:rsidRDefault="006452BC" w:rsidP="00E01910">
            <w:pPr>
              <w:pStyle w:val="TableParagraph"/>
              <w:spacing w:line="242" w:lineRule="exact"/>
              <w:jc w:val="center"/>
              <w:rPr>
                <w:color w:val="000000" w:themeColor="text1"/>
                <w:sz w:val="20"/>
              </w:rPr>
            </w:pPr>
            <w:r w:rsidRPr="00CF141B">
              <w:rPr>
                <w:rFonts w:hint="eastAsia"/>
                <w:color w:val="000000" w:themeColor="text1"/>
                <w:sz w:val="20"/>
              </w:rPr>
              <w:t>合计</w:t>
            </w:r>
          </w:p>
        </w:tc>
        <w:tc>
          <w:tcPr>
            <w:tcW w:w="1320"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p>
        </w:tc>
        <w:tc>
          <w:tcPr>
            <w:tcW w:w="1416" w:type="dxa"/>
            <w:noWrap/>
            <w:vAlign w:val="center"/>
          </w:tcPr>
          <w:p w:rsidR="006452BC" w:rsidRPr="00CF141B" w:rsidRDefault="006452BC" w:rsidP="00E01910">
            <w:pPr>
              <w:pStyle w:val="TableParagraph"/>
              <w:spacing w:line="242" w:lineRule="exact"/>
              <w:ind w:right="747"/>
              <w:jc w:val="center"/>
              <w:rPr>
                <w:color w:val="000000" w:themeColor="text1"/>
                <w:sz w:val="20"/>
                <w:lang w:val="en-US"/>
              </w:rPr>
            </w:pPr>
          </w:p>
        </w:tc>
        <w:tc>
          <w:tcPr>
            <w:tcW w:w="1176" w:type="dxa"/>
            <w:noWrap/>
            <w:vAlign w:val="center"/>
          </w:tcPr>
          <w:p w:rsidR="006452BC" w:rsidRPr="00CF141B" w:rsidRDefault="006452BC" w:rsidP="00E01910">
            <w:pPr>
              <w:pStyle w:val="TableParagraph"/>
              <w:spacing w:line="242" w:lineRule="exact"/>
              <w:ind w:right="747"/>
              <w:jc w:val="right"/>
              <w:rPr>
                <w:color w:val="000000" w:themeColor="text1"/>
                <w:sz w:val="20"/>
                <w:lang w:val="en-US"/>
              </w:rPr>
            </w:pPr>
            <w:r w:rsidRPr="00CF141B">
              <w:rPr>
                <w:rFonts w:hint="eastAsia"/>
                <w:color w:val="000000" w:themeColor="text1"/>
                <w:sz w:val="20"/>
                <w:lang w:val="en-US"/>
              </w:rPr>
              <w:t>93</w:t>
            </w:r>
          </w:p>
        </w:tc>
        <w:tc>
          <w:tcPr>
            <w:tcW w:w="1176" w:type="dxa"/>
            <w:noWrap/>
            <w:vAlign w:val="center"/>
          </w:tcPr>
          <w:p w:rsidR="006452BC" w:rsidRPr="00CF141B" w:rsidRDefault="006452BC" w:rsidP="00E01910">
            <w:pPr>
              <w:pStyle w:val="TableParagraph"/>
              <w:spacing w:line="242" w:lineRule="exact"/>
              <w:ind w:right="747"/>
              <w:jc w:val="right"/>
              <w:rPr>
                <w:color w:val="000000" w:themeColor="text1"/>
                <w:sz w:val="20"/>
                <w:lang w:val="en-US"/>
              </w:rPr>
            </w:pPr>
          </w:p>
        </w:tc>
      </w:tr>
    </w:tbl>
    <w:p w:rsidR="00A426D4" w:rsidRPr="00CF141B" w:rsidRDefault="006452BC" w:rsidP="006452BC">
      <w:pPr>
        <w:pStyle w:val="4"/>
        <w:rPr>
          <w:rFonts w:asciiTheme="minorEastAsia" w:eastAsiaTheme="minorEastAsia" w:hAnsiTheme="minorEastAsia"/>
          <w:b w:val="0"/>
          <w:color w:val="000000" w:themeColor="text1"/>
          <w:sz w:val="32"/>
          <w:szCs w:val="32"/>
        </w:rPr>
      </w:pPr>
      <w:r w:rsidRPr="00CF141B">
        <w:rPr>
          <w:rFonts w:asciiTheme="minorEastAsia" w:eastAsiaTheme="minorEastAsia" w:hAnsiTheme="minorEastAsia" w:hint="eastAsia"/>
          <w:b w:val="0"/>
          <w:color w:val="000000" w:themeColor="text1"/>
          <w:sz w:val="32"/>
          <w:szCs w:val="32"/>
        </w:rPr>
        <w:lastRenderedPageBreak/>
        <w:t>发现的主要问题及原因：一是政府采购流程繁琐、支出进度缓慢。下一步改进措施是优化工作流程，加快支出进度。</w:t>
      </w:r>
    </w:p>
    <w:p w:rsidR="00B46E31" w:rsidRPr="002C20C1" w:rsidRDefault="00B46E31" w:rsidP="00B46E31">
      <w:pPr>
        <w:spacing w:line="578" w:lineRule="exact"/>
        <w:ind w:firstLineChars="200" w:firstLine="643"/>
        <w:rPr>
          <w:rFonts w:ascii="楷体" w:eastAsia="楷体" w:hAnsi="楷体" w:cs="楷体" w:hint="eastAsia"/>
          <w:b/>
          <w:sz w:val="32"/>
          <w:szCs w:val="32"/>
        </w:rPr>
      </w:pPr>
      <w:r w:rsidRPr="002C20C1">
        <w:rPr>
          <w:rFonts w:ascii="楷体" w:eastAsia="楷体" w:hAnsi="楷体" w:cs="楷体" w:hint="eastAsia"/>
          <w:b/>
          <w:sz w:val="32"/>
          <w:szCs w:val="32"/>
        </w:rPr>
        <w:t>（三）财政评价项目绩效评价结果</w:t>
      </w:r>
      <w:r>
        <w:rPr>
          <w:rFonts w:ascii="楷体" w:eastAsia="楷体" w:hAnsi="楷体" w:cs="楷体" w:hint="eastAsia"/>
          <w:b/>
          <w:sz w:val="32"/>
          <w:szCs w:val="32"/>
        </w:rPr>
        <w:t>。</w:t>
      </w:r>
      <w:r w:rsidRPr="002C20C1">
        <w:rPr>
          <w:rFonts w:ascii="楷体" w:eastAsia="楷体" w:hAnsi="楷体" w:cs="楷体" w:hint="eastAsia"/>
          <w:b/>
          <w:sz w:val="32"/>
          <w:szCs w:val="32"/>
        </w:rPr>
        <w:t>（</w:t>
      </w:r>
      <w:r>
        <w:rPr>
          <w:rFonts w:ascii="楷体" w:eastAsia="楷体" w:hAnsi="楷体" w:cs="楷体" w:hint="eastAsia"/>
          <w:b/>
          <w:sz w:val="32"/>
          <w:szCs w:val="32"/>
        </w:rPr>
        <w:t>无</w:t>
      </w:r>
      <w:r w:rsidRPr="002C20C1">
        <w:rPr>
          <w:rFonts w:ascii="楷体" w:eastAsia="楷体" w:hAnsi="楷体" w:cs="楷体" w:hint="eastAsia"/>
          <w:b/>
          <w:sz w:val="32"/>
          <w:szCs w:val="32"/>
        </w:rPr>
        <w:t>）</w:t>
      </w:r>
    </w:p>
    <w:p w:rsidR="00B46E31" w:rsidRPr="002C20C1" w:rsidRDefault="00B46E31" w:rsidP="00B46E31">
      <w:pPr>
        <w:spacing w:line="578" w:lineRule="exact"/>
        <w:ind w:firstLineChars="200" w:firstLine="643"/>
        <w:rPr>
          <w:rFonts w:ascii="楷体" w:eastAsia="楷体" w:hAnsi="楷体" w:cs="楷体" w:hint="eastAsia"/>
          <w:b/>
          <w:sz w:val="32"/>
          <w:szCs w:val="32"/>
        </w:rPr>
      </w:pPr>
      <w:r w:rsidRPr="002C20C1">
        <w:rPr>
          <w:rFonts w:ascii="楷体" w:eastAsia="楷体" w:hAnsi="楷体" w:cs="楷体" w:hint="eastAsia"/>
          <w:b/>
          <w:sz w:val="32"/>
          <w:szCs w:val="32"/>
        </w:rPr>
        <w:t>（四）部门评价项目绩效评价结果。（</w:t>
      </w:r>
      <w:r>
        <w:rPr>
          <w:rFonts w:ascii="楷体" w:eastAsia="楷体" w:hAnsi="楷体" w:cs="楷体" w:hint="eastAsia"/>
          <w:b/>
          <w:sz w:val="32"/>
          <w:szCs w:val="32"/>
        </w:rPr>
        <w:t>无</w:t>
      </w:r>
      <w:r w:rsidRPr="002C20C1">
        <w:rPr>
          <w:rFonts w:ascii="楷体" w:eastAsia="楷体" w:hAnsi="楷体" w:cs="楷体" w:hint="eastAsia"/>
          <w:b/>
          <w:sz w:val="32"/>
          <w:szCs w:val="32"/>
        </w:rPr>
        <w:t>）</w:t>
      </w:r>
    </w:p>
    <w:p w:rsidR="00ED50CC" w:rsidRPr="001229CB" w:rsidRDefault="001229CB" w:rsidP="001229CB">
      <w:pPr>
        <w:ind w:firstLineChars="200" w:firstLine="643"/>
        <w:rPr>
          <w:rFonts w:asciiTheme="minorEastAsia" w:eastAsiaTheme="minorEastAsia" w:hAnsiTheme="minorEastAsia" w:cs="黑体"/>
          <w:b/>
          <w:bCs/>
          <w:sz w:val="32"/>
          <w:szCs w:val="32"/>
        </w:rPr>
      </w:pPr>
      <w:r w:rsidRPr="001229CB">
        <w:rPr>
          <w:rFonts w:asciiTheme="minorEastAsia" w:eastAsiaTheme="minorEastAsia" w:hAnsiTheme="minorEastAsia" w:cs="黑体" w:hint="eastAsia"/>
          <w:b/>
          <w:bCs/>
          <w:sz w:val="32"/>
          <w:szCs w:val="32"/>
        </w:rPr>
        <w:t>十三</w:t>
      </w:r>
      <w:r w:rsidR="000F3D9D" w:rsidRPr="001229CB">
        <w:rPr>
          <w:rFonts w:asciiTheme="minorEastAsia" w:eastAsiaTheme="minorEastAsia" w:hAnsiTheme="minorEastAsia" w:cs="黑体" w:hint="eastAsia"/>
          <w:b/>
          <w:bCs/>
          <w:sz w:val="32"/>
          <w:szCs w:val="32"/>
        </w:rPr>
        <w:t>、其他重要事项情况说明。</w:t>
      </w:r>
    </w:p>
    <w:p w:rsidR="00985541" w:rsidRDefault="00985541" w:rsidP="00985541">
      <w:pPr>
        <w:ind w:firstLineChars="200" w:firstLine="643"/>
        <w:rPr>
          <w:rFonts w:ascii="楷体" w:eastAsia="楷体" w:hAnsi="楷体" w:cs="楷体"/>
          <w:b/>
          <w:sz w:val="32"/>
          <w:szCs w:val="32"/>
        </w:rPr>
      </w:pPr>
      <w:bookmarkStart w:id="95" w:name="_Toc15262_WPSOffice_Level2"/>
      <w:bookmarkStart w:id="96" w:name="_Toc32639_WPSOffice_Level2"/>
      <w:bookmarkStart w:id="97" w:name="_Toc15565_WPSOffice_Level2"/>
      <w:bookmarkStart w:id="98" w:name="_Toc23598_WPSOffice_Level2"/>
      <w:bookmarkStart w:id="99" w:name="_Toc18325_WPSOffice_Level2"/>
      <w:bookmarkStart w:id="100" w:name="_Toc5978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985541" w:rsidRPr="001229CB" w:rsidRDefault="00985541" w:rsidP="00985541">
      <w:pPr>
        <w:ind w:firstLineChars="200" w:firstLine="640"/>
        <w:rPr>
          <w:rFonts w:asciiTheme="minorEastAsia" w:eastAsiaTheme="minorEastAsia" w:hAnsiTheme="minorEastAsia"/>
          <w:sz w:val="32"/>
          <w:szCs w:val="32"/>
        </w:rPr>
      </w:pPr>
      <w:r w:rsidRPr="001229CB">
        <w:rPr>
          <w:rFonts w:asciiTheme="minorEastAsia" w:eastAsiaTheme="minorEastAsia" w:hAnsiTheme="minorEastAsia" w:hint="eastAsia"/>
          <w:sz w:val="32"/>
          <w:szCs w:val="32"/>
        </w:rPr>
        <w:t>2020年度机关运行经费0万元，比年初预算增加（减少）0万元，增长（降低）0%。</w:t>
      </w:r>
    </w:p>
    <w:p w:rsidR="00ED50CC" w:rsidRPr="001229CB" w:rsidRDefault="000F3D9D" w:rsidP="001229CB">
      <w:pPr>
        <w:ind w:firstLineChars="200" w:firstLine="643"/>
        <w:rPr>
          <w:rFonts w:asciiTheme="minorEastAsia" w:eastAsiaTheme="minorEastAsia" w:hAnsiTheme="minorEastAsia" w:cs="楷体"/>
          <w:b/>
          <w:sz w:val="32"/>
          <w:szCs w:val="32"/>
        </w:rPr>
      </w:pPr>
      <w:bookmarkStart w:id="101" w:name="_Toc30383_WPSOffice_Level2"/>
      <w:bookmarkStart w:id="102" w:name="_Toc13084_WPSOffice_Level2"/>
      <w:bookmarkStart w:id="103" w:name="_Toc3131_WPSOffice_Level2"/>
      <w:bookmarkStart w:id="104" w:name="_Toc25333_WPSOffice_Level2"/>
      <w:bookmarkStart w:id="105" w:name="_Toc32689_WPSOffice_Level2"/>
      <w:bookmarkStart w:id="106" w:name="_Toc23966_WPSOffice_Level2"/>
      <w:r w:rsidRPr="001229CB">
        <w:rPr>
          <w:rFonts w:asciiTheme="minorEastAsia" w:eastAsiaTheme="minorEastAsia" w:hAnsiTheme="minorEastAsia" w:cs="楷体" w:hint="eastAsia"/>
          <w:b/>
          <w:sz w:val="32"/>
          <w:szCs w:val="32"/>
        </w:rPr>
        <w:t>（</w:t>
      </w:r>
      <w:r w:rsidR="00985541" w:rsidRPr="001229CB">
        <w:rPr>
          <w:rFonts w:asciiTheme="minorEastAsia" w:eastAsiaTheme="minorEastAsia" w:hAnsiTheme="minorEastAsia" w:cs="楷体" w:hint="eastAsia"/>
          <w:b/>
          <w:sz w:val="32"/>
          <w:szCs w:val="32"/>
        </w:rPr>
        <w:t>二</w:t>
      </w:r>
      <w:r w:rsidRPr="001229CB">
        <w:rPr>
          <w:rFonts w:asciiTheme="minorEastAsia" w:eastAsiaTheme="minorEastAsia" w:hAnsiTheme="minorEastAsia" w:cs="楷体" w:hint="eastAsia"/>
          <w:b/>
          <w:sz w:val="32"/>
          <w:szCs w:val="32"/>
        </w:rPr>
        <w:t>）政府采购支出情况。</w:t>
      </w:r>
      <w:bookmarkEnd w:id="101"/>
      <w:bookmarkEnd w:id="102"/>
      <w:bookmarkEnd w:id="103"/>
      <w:bookmarkEnd w:id="104"/>
      <w:bookmarkEnd w:id="105"/>
      <w:bookmarkEnd w:id="106"/>
    </w:p>
    <w:p w:rsidR="00ED50CC" w:rsidRPr="00561BB4" w:rsidRDefault="000F3D9D" w:rsidP="00846837">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2020年度</w:t>
      </w:r>
      <w:r w:rsidR="00720603" w:rsidRPr="006452BC">
        <w:rPr>
          <w:rFonts w:asciiTheme="minorEastAsia" w:eastAsiaTheme="minorEastAsia" w:hAnsiTheme="minorEastAsia" w:hint="eastAsia"/>
          <w:sz w:val="32"/>
          <w:szCs w:val="32"/>
        </w:rPr>
        <w:t>单位</w:t>
      </w:r>
      <w:r w:rsidRPr="006452BC">
        <w:rPr>
          <w:rFonts w:asciiTheme="minorEastAsia" w:eastAsiaTheme="minorEastAsia" w:hAnsiTheme="minorEastAsia" w:hint="eastAsia"/>
          <w:sz w:val="32"/>
          <w:szCs w:val="32"/>
        </w:rPr>
        <w:t>政府采购支出总额</w:t>
      </w:r>
      <w:r w:rsidR="00720603" w:rsidRPr="006452BC">
        <w:rPr>
          <w:rFonts w:asciiTheme="minorEastAsia" w:eastAsiaTheme="minorEastAsia" w:hAnsiTheme="minorEastAsia" w:hint="eastAsia"/>
          <w:sz w:val="32"/>
          <w:szCs w:val="32"/>
        </w:rPr>
        <w:t>6027.83</w:t>
      </w:r>
      <w:r w:rsidRPr="006452BC">
        <w:rPr>
          <w:rFonts w:asciiTheme="minorEastAsia" w:eastAsiaTheme="minorEastAsia" w:hAnsiTheme="minorEastAsia" w:hint="eastAsia"/>
          <w:sz w:val="32"/>
          <w:szCs w:val="32"/>
        </w:rPr>
        <w:t>万元，其中：</w:t>
      </w:r>
      <w:r w:rsidRPr="00561BB4">
        <w:rPr>
          <w:rFonts w:asciiTheme="minorEastAsia" w:eastAsiaTheme="minorEastAsia" w:hAnsiTheme="minorEastAsia" w:hint="eastAsia"/>
          <w:sz w:val="32"/>
          <w:szCs w:val="32"/>
        </w:rPr>
        <w:t>政府采购货物支出</w:t>
      </w:r>
      <w:r w:rsidR="00846837" w:rsidRPr="00561BB4">
        <w:rPr>
          <w:rFonts w:asciiTheme="minorEastAsia" w:eastAsiaTheme="minorEastAsia" w:hAnsiTheme="minorEastAsia" w:hint="eastAsia"/>
          <w:sz w:val="32"/>
          <w:szCs w:val="32"/>
        </w:rPr>
        <w:t>6027.83</w:t>
      </w:r>
      <w:r w:rsidRPr="00561BB4">
        <w:rPr>
          <w:rFonts w:asciiTheme="minorEastAsia" w:eastAsiaTheme="minorEastAsia" w:hAnsiTheme="minorEastAsia" w:hint="eastAsia"/>
          <w:sz w:val="32"/>
          <w:szCs w:val="32"/>
        </w:rPr>
        <w:t>万元</w:t>
      </w:r>
    </w:p>
    <w:p w:rsidR="00ED50CC" w:rsidRPr="001229CB" w:rsidRDefault="000F3D9D" w:rsidP="001229CB">
      <w:pPr>
        <w:ind w:firstLineChars="200" w:firstLine="643"/>
        <w:rPr>
          <w:rFonts w:asciiTheme="minorEastAsia" w:eastAsiaTheme="minorEastAsia" w:hAnsiTheme="minorEastAsia" w:cs="楷体"/>
          <w:b/>
          <w:sz w:val="32"/>
          <w:szCs w:val="32"/>
        </w:rPr>
      </w:pPr>
      <w:bookmarkStart w:id="107" w:name="_Toc6016_WPSOffice_Level2"/>
      <w:bookmarkStart w:id="108" w:name="_Toc19989_WPSOffice_Level2"/>
      <w:bookmarkStart w:id="109" w:name="_Toc29584_WPSOffice_Level2"/>
      <w:bookmarkStart w:id="110" w:name="_Toc527_WPSOffice_Level2"/>
      <w:bookmarkStart w:id="111" w:name="_Toc10902_WPSOffice_Level2"/>
      <w:bookmarkStart w:id="112" w:name="_Toc15129_WPSOffice_Level2"/>
      <w:r w:rsidRPr="001229CB">
        <w:rPr>
          <w:rFonts w:asciiTheme="minorEastAsia" w:eastAsiaTheme="minorEastAsia" w:hAnsiTheme="minorEastAsia" w:cs="楷体" w:hint="eastAsia"/>
          <w:b/>
          <w:sz w:val="32"/>
          <w:szCs w:val="32"/>
        </w:rPr>
        <w:t>（</w:t>
      </w:r>
      <w:r w:rsidR="00985541" w:rsidRPr="001229CB">
        <w:rPr>
          <w:rFonts w:asciiTheme="minorEastAsia" w:eastAsiaTheme="minorEastAsia" w:hAnsiTheme="minorEastAsia" w:cs="楷体" w:hint="eastAsia"/>
          <w:b/>
          <w:sz w:val="32"/>
          <w:szCs w:val="32"/>
        </w:rPr>
        <w:t>三</w:t>
      </w:r>
      <w:r w:rsidRPr="001229CB">
        <w:rPr>
          <w:rFonts w:asciiTheme="minorEastAsia" w:eastAsiaTheme="minorEastAsia" w:hAnsiTheme="minorEastAsia" w:cs="楷体" w:hint="eastAsia"/>
          <w:b/>
          <w:sz w:val="32"/>
          <w:szCs w:val="32"/>
        </w:rPr>
        <w:t>）国有资产占用情况。</w:t>
      </w:r>
      <w:bookmarkEnd w:id="107"/>
      <w:bookmarkEnd w:id="108"/>
      <w:bookmarkEnd w:id="109"/>
      <w:bookmarkEnd w:id="110"/>
      <w:bookmarkEnd w:id="111"/>
      <w:bookmarkEnd w:id="112"/>
    </w:p>
    <w:p w:rsidR="00ED50CC" w:rsidRPr="006452BC" w:rsidRDefault="000F3D9D">
      <w:pPr>
        <w:spacing w:line="578" w:lineRule="exact"/>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截至2020年12月31日，本</w:t>
      </w:r>
      <w:r w:rsidR="007915D0" w:rsidRPr="006452BC">
        <w:rPr>
          <w:rFonts w:asciiTheme="minorEastAsia" w:eastAsiaTheme="minorEastAsia" w:hAnsiTheme="minorEastAsia" w:hint="eastAsia"/>
          <w:sz w:val="32"/>
          <w:szCs w:val="32"/>
        </w:rPr>
        <w:t>单位</w:t>
      </w:r>
      <w:r w:rsidRPr="006452BC">
        <w:rPr>
          <w:rFonts w:asciiTheme="minorEastAsia" w:eastAsiaTheme="minorEastAsia" w:hAnsiTheme="minorEastAsia" w:hint="eastAsia"/>
          <w:sz w:val="32"/>
          <w:szCs w:val="32"/>
        </w:rPr>
        <w:t>占用房屋面积</w:t>
      </w:r>
      <w:r w:rsidR="007915D0" w:rsidRPr="006452BC">
        <w:rPr>
          <w:rFonts w:asciiTheme="minorEastAsia" w:eastAsiaTheme="minorEastAsia" w:hAnsiTheme="minorEastAsia" w:hint="eastAsia"/>
          <w:sz w:val="32"/>
          <w:szCs w:val="32"/>
        </w:rPr>
        <w:t>92020.29</w:t>
      </w:r>
      <w:r w:rsidRPr="006452BC">
        <w:rPr>
          <w:rFonts w:asciiTheme="minorEastAsia" w:eastAsiaTheme="minorEastAsia" w:hAnsiTheme="minorEastAsia" w:hint="eastAsia"/>
          <w:sz w:val="32"/>
          <w:szCs w:val="32"/>
        </w:rPr>
        <w:t>平方米，其中：办公用房</w:t>
      </w:r>
      <w:r w:rsidR="007915D0" w:rsidRPr="006452BC">
        <w:rPr>
          <w:rFonts w:asciiTheme="minorEastAsia" w:eastAsiaTheme="minorEastAsia" w:hAnsiTheme="minorEastAsia" w:hint="eastAsia"/>
          <w:sz w:val="32"/>
          <w:szCs w:val="32"/>
        </w:rPr>
        <w:t>1338.6</w:t>
      </w:r>
      <w:r w:rsidRPr="006452BC">
        <w:rPr>
          <w:rFonts w:asciiTheme="minorEastAsia" w:eastAsiaTheme="minorEastAsia" w:hAnsiTheme="minorEastAsia" w:hint="eastAsia"/>
          <w:sz w:val="32"/>
          <w:szCs w:val="32"/>
        </w:rPr>
        <w:t>平方米，业务用房</w:t>
      </w:r>
      <w:r w:rsidR="007915D0" w:rsidRPr="006452BC">
        <w:rPr>
          <w:rFonts w:asciiTheme="minorEastAsia" w:eastAsiaTheme="minorEastAsia" w:hAnsiTheme="minorEastAsia" w:hint="eastAsia"/>
          <w:sz w:val="32"/>
          <w:szCs w:val="32"/>
        </w:rPr>
        <w:t>77572.3</w:t>
      </w:r>
      <w:r w:rsidRPr="006452BC">
        <w:rPr>
          <w:rFonts w:asciiTheme="minorEastAsia" w:eastAsiaTheme="minorEastAsia" w:hAnsiTheme="minorEastAsia" w:hint="eastAsia"/>
          <w:sz w:val="32"/>
          <w:szCs w:val="32"/>
        </w:rPr>
        <w:t>平方米，其他（不含构筑物）</w:t>
      </w:r>
      <w:r w:rsidR="007915D0" w:rsidRPr="006452BC">
        <w:rPr>
          <w:rFonts w:asciiTheme="minorEastAsia" w:eastAsiaTheme="minorEastAsia" w:hAnsiTheme="minorEastAsia" w:hint="eastAsia"/>
          <w:sz w:val="32"/>
          <w:szCs w:val="32"/>
        </w:rPr>
        <w:t>13109.39</w:t>
      </w:r>
      <w:r w:rsidRPr="006452BC">
        <w:rPr>
          <w:rFonts w:asciiTheme="minorEastAsia" w:eastAsiaTheme="minorEastAsia" w:hAnsiTheme="minorEastAsia" w:hint="eastAsia"/>
          <w:sz w:val="32"/>
          <w:szCs w:val="32"/>
        </w:rPr>
        <w:t>平方米。</w:t>
      </w:r>
    </w:p>
    <w:p w:rsidR="00ED50CC" w:rsidRPr="006452BC" w:rsidRDefault="000F3D9D">
      <w:pPr>
        <w:spacing w:line="578" w:lineRule="exact"/>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本</w:t>
      </w:r>
      <w:r w:rsidR="00ED0AE1">
        <w:rPr>
          <w:rFonts w:asciiTheme="minorEastAsia" w:eastAsiaTheme="minorEastAsia" w:hAnsiTheme="minorEastAsia" w:hint="eastAsia"/>
          <w:sz w:val="32"/>
          <w:szCs w:val="32"/>
        </w:rPr>
        <w:t>单位</w:t>
      </w:r>
      <w:r w:rsidRPr="006452BC">
        <w:rPr>
          <w:rFonts w:asciiTheme="minorEastAsia" w:eastAsiaTheme="minorEastAsia" w:hAnsiTheme="minorEastAsia" w:hint="eastAsia"/>
          <w:sz w:val="32"/>
          <w:szCs w:val="32"/>
        </w:rPr>
        <w:t>共有车辆</w:t>
      </w:r>
      <w:r w:rsidR="00FF5495" w:rsidRPr="006452BC">
        <w:rPr>
          <w:rFonts w:asciiTheme="minorEastAsia" w:eastAsiaTheme="minorEastAsia" w:hAnsiTheme="minorEastAsia" w:hint="eastAsia"/>
          <w:sz w:val="32"/>
          <w:szCs w:val="32"/>
        </w:rPr>
        <w:t>11</w:t>
      </w:r>
      <w:r w:rsidRPr="006452BC">
        <w:rPr>
          <w:rFonts w:asciiTheme="minorEastAsia" w:eastAsiaTheme="minorEastAsia" w:hAnsiTheme="minorEastAsia" w:hint="eastAsia"/>
          <w:sz w:val="32"/>
          <w:szCs w:val="32"/>
        </w:rPr>
        <w:t>辆，其中：从车辆种类说明：轿车</w:t>
      </w:r>
      <w:r w:rsidR="00FF5495" w:rsidRPr="006452BC">
        <w:rPr>
          <w:rFonts w:asciiTheme="minorEastAsia" w:eastAsiaTheme="minorEastAsia" w:hAnsiTheme="minorEastAsia" w:hint="eastAsia"/>
          <w:sz w:val="32"/>
          <w:szCs w:val="32"/>
        </w:rPr>
        <w:t>4</w:t>
      </w:r>
      <w:r w:rsidRPr="006452BC">
        <w:rPr>
          <w:rFonts w:asciiTheme="minorEastAsia" w:eastAsiaTheme="minorEastAsia" w:hAnsiTheme="minorEastAsia" w:hint="eastAsia"/>
          <w:sz w:val="32"/>
          <w:szCs w:val="32"/>
        </w:rPr>
        <w:t>辆、大中型载客汽车辆、其他车型</w:t>
      </w:r>
      <w:r w:rsidR="00FF5495" w:rsidRPr="006452BC">
        <w:rPr>
          <w:rFonts w:asciiTheme="minorEastAsia" w:eastAsiaTheme="minorEastAsia" w:hAnsiTheme="minorEastAsia" w:hint="eastAsia"/>
          <w:sz w:val="32"/>
          <w:szCs w:val="32"/>
        </w:rPr>
        <w:t>6</w:t>
      </w:r>
      <w:r w:rsidRPr="006452BC">
        <w:rPr>
          <w:rFonts w:asciiTheme="minorEastAsia" w:eastAsiaTheme="minorEastAsia" w:hAnsiTheme="minorEastAsia" w:hint="eastAsia"/>
          <w:sz w:val="32"/>
          <w:szCs w:val="32"/>
        </w:rPr>
        <w:t>辆，其他车型主要是</w:t>
      </w:r>
      <w:r w:rsidR="00204503" w:rsidRPr="006452BC">
        <w:rPr>
          <w:rFonts w:asciiTheme="minorEastAsia" w:eastAsiaTheme="minorEastAsia" w:hAnsiTheme="minorEastAsia" w:hint="eastAsia"/>
          <w:sz w:val="32"/>
          <w:szCs w:val="32"/>
        </w:rPr>
        <w:t>救护车</w:t>
      </w:r>
      <w:r w:rsidRPr="006452BC">
        <w:rPr>
          <w:rFonts w:asciiTheme="minorEastAsia" w:eastAsiaTheme="minorEastAsia" w:hAnsiTheme="minorEastAsia" w:hint="eastAsia"/>
          <w:sz w:val="32"/>
          <w:szCs w:val="32"/>
        </w:rPr>
        <w:t>；从车辆使用情况说明：机要通信用车</w:t>
      </w:r>
      <w:r w:rsidR="00204503" w:rsidRPr="006452BC">
        <w:rPr>
          <w:rFonts w:asciiTheme="minorEastAsia" w:eastAsiaTheme="minorEastAsia" w:hAnsiTheme="minorEastAsia" w:hint="eastAsia"/>
          <w:sz w:val="32"/>
          <w:szCs w:val="32"/>
        </w:rPr>
        <w:t>1</w:t>
      </w:r>
      <w:r w:rsidRPr="006452BC">
        <w:rPr>
          <w:rFonts w:asciiTheme="minorEastAsia" w:eastAsiaTheme="minorEastAsia" w:hAnsiTheme="minorEastAsia" w:hint="eastAsia"/>
          <w:sz w:val="32"/>
          <w:szCs w:val="32"/>
        </w:rPr>
        <w:t>辆、特种专业技术用车</w:t>
      </w:r>
      <w:r w:rsidR="00204503" w:rsidRPr="006452BC">
        <w:rPr>
          <w:rFonts w:asciiTheme="minorEastAsia" w:eastAsiaTheme="minorEastAsia" w:hAnsiTheme="minorEastAsia" w:hint="eastAsia"/>
          <w:sz w:val="32"/>
          <w:szCs w:val="32"/>
        </w:rPr>
        <w:t>6</w:t>
      </w:r>
      <w:r w:rsidRPr="006452BC">
        <w:rPr>
          <w:rFonts w:asciiTheme="minorEastAsia" w:eastAsiaTheme="minorEastAsia" w:hAnsiTheme="minorEastAsia" w:hint="eastAsia"/>
          <w:sz w:val="32"/>
          <w:szCs w:val="32"/>
        </w:rPr>
        <w:t>辆、</w:t>
      </w:r>
      <w:r w:rsidR="00204503" w:rsidRPr="006452BC">
        <w:rPr>
          <w:rFonts w:asciiTheme="minorEastAsia" w:eastAsiaTheme="minorEastAsia" w:hAnsiTheme="minorEastAsia" w:hint="eastAsia"/>
          <w:sz w:val="32"/>
          <w:szCs w:val="32"/>
        </w:rPr>
        <w:t>其他</w:t>
      </w:r>
      <w:r w:rsidRPr="006452BC">
        <w:rPr>
          <w:rFonts w:asciiTheme="minorEastAsia" w:eastAsiaTheme="minorEastAsia" w:hAnsiTheme="minorEastAsia" w:hint="eastAsia"/>
          <w:sz w:val="32"/>
          <w:szCs w:val="32"/>
        </w:rPr>
        <w:t>用车</w:t>
      </w:r>
      <w:r w:rsidR="00204503" w:rsidRPr="006452BC">
        <w:rPr>
          <w:rFonts w:asciiTheme="minorEastAsia" w:eastAsiaTheme="minorEastAsia" w:hAnsiTheme="minorEastAsia" w:hint="eastAsia"/>
          <w:sz w:val="32"/>
          <w:szCs w:val="32"/>
        </w:rPr>
        <w:t>4</w:t>
      </w:r>
      <w:r w:rsidRPr="006452BC">
        <w:rPr>
          <w:rFonts w:asciiTheme="minorEastAsia" w:eastAsiaTheme="minorEastAsia" w:hAnsiTheme="minorEastAsia" w:hint="eastAsia"/>
          <w:sz w:val="32"/>
          <w:szCs w:val="32"/>
        </w:rPr>
        <w:t>辆。</w:t>
      </w:r>
    </w:p>
    <w:p w:rsidR="00ED50CC" w:rsidRPr="006452BC" w:rsidRDefault="000F3D9D">
      <w:pPr>
        <w:spacing w:line="578" w:lineRule="exact"/>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年末在建工程</w:t>
      </w:r>
      <w:r w:rsidR="00204503" w:rsidRPr="006452BC">
        <w:rPr>
          <w:rFonts w:asciiTheme="minorEastAsia" w:eastAsiaTheme="minorEastAsia" w:hAnsiTheme="minorEastAsia" w:hint="eastAsia"/>
          <w:sz w:val="32"/>
          <w:szCs w:val="32"/>
        </w:rPr>
        <w:t>33837.33</w:t>
      </w:r>
      <w:r w:rsidRPr="006452BC">
        <w:rPr>
          <w:rFonts w:asciiTheme="minorEastAsia" w:eastAsiaTheme="minorEastAsia" w:hAnsiTheme="minorEastAsia" w:hint="eastAsia"/>
          <w:sz w:val="32"/>
          <w:szCs w:val="32"/>
        </w:rPr>
        <w:t>万元。</w:t>
      </w:r>
    </w:p>
    <w:p w:rsidR="00917802" w:rsidRDefault="00917802" w:rsidP="00204503">
      <w:pPr>
        <w:jc w:val="center"/>
        <w:rPr>
          <w:rFonts w:asciiTheme="minorEastAsia" w:eastAsiaTheme="minorEastAsia" w:hAnsiTheme="minorEastAsia" w:hint="eastAsia"/>
          <w:sz w:val="32"/>
          <w:szCs w:val="32"/>
        </w:rPr>
      </w:pPr>
      <w:bookmarkStart w:id="113" w:name="_Toc17580_WPSOffice_Level1"/>
      <w:bookmarkStart w:id="114" w:name="_Toc4398_WPSOffice_Level1"/>
      <w:bookmarkStart w:id="115" w:name="_Toc8808_WPSOffice_Level1"/>
      <w:bookmarkStart w:id="116" w:name="_Toc11039_WPSOffice_Level1"/>
      <w:bookmarkStart w:id="117" w:name="_Toc8874_WPSOffice_Level1"/>
      <w:bookmarkStart w:id="118" w:name="_Toc15425_WPSOffice_Level1"/>
    </w:p>
    <w:p w:rsidR="00917802" w:rsidRDefault="00917802" w:rsidP="00204503">
      <w:pPr>
        <w:jc w:val="center"/>
        <w:rPr>
          <w:rFonts w:asciiTheme="minorEastAsia" w:eastAsiaTheme="minorEastAsia" w:hAnsiTheme="minorEastAsia" w:hint="eastAsia"/>
          <w:sz w:val="32"/>
          <w:szCs w:val="32"/>
        </w:rPr>
      </w:pPr>
    </w:p>
    <w:p w:rsidR="00917802" w:rsidRDefault="00917802" w:rsidP="00204503">
      <w:pPr>
        <w:jc w:val="center"/>
        <w:rPr>
          <w:rFonts w:asciiTheme="minorEastAsia" w:eastAsiaTheme="minorEastAsia" w:hAnsiTheme="minorEastAsia" w:hint="eastAsia"/>
          <w:sz w:val="32"/>
          <w:szCs w:val="32"/>
        </w:rPr>
      </w:pPr>
    </w:p>
    <w:p w:rsidR="00917802" w:rsidRDefault="00917802" w:rsidP="00204503">
      <w:pPr>
        <w:jc w:val="center"/>
        <w:rPr>
          <w:rFonts w:asciiTheme="minorEastAsia" w:eastAsiaTheme="minorEastAsia" w:hAnsiTheme="minorEastAsia" w:hint="eastAsia"/>
          <w:sz w:val="32"/>
          <w:szCs w:val="32"/>
        </w:rPr>
      </w:pPr>
    </w:p>
    <w:p w:rsidR="00ED50CC" w:rsidRPr="006452BC" w:rsidRDefault="000F3D9D" w:rsidP="00204503">
      <w:pPr>
        <w:jc w:val="center"/>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第四部分  名词解释</w:t>
      </w:r>
      <w:bookmarkEnd w:id="113"/>
      <w:bookmarkEnd w:id="114"/>
      <w:bookmarkEnd w:id="115"/>
      <w:bookmarkEnd w:id="116"/>
      <w:bookmarkEnd w:id="117"/>
      <w:bookmarkEnd w:id="118"/>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一、财政拨款收入：指本级财政当年拨付的资金。</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二、事业收入：指事业单位开展专业业务活动及辅助活动取得的收入。</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三、经营收入：指事业单位在专业业务活动及其辅助活动之外开展非独立核算经营活动取得的收入。</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四、其他收入：指除上述“财政拨款收入”“事业收入”“经营收入”等以外的收入。</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六、年初结转和结余：指以前年度尚未完成、结转到本年按有关规定继续使用的资金。</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七、结余分配：指事业单位按规定提取的职工福利基金、事业基金和缴纳的所得税，以及建设单位按规定应交回的基本建设竣工项目结余资金。</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八、年末结转和结余：指本年度或以前年度预算安排、因客观条件发生变化无法按原计划实施，需要延迟到以后年</w:t>
      </w:r>
      <w:r w:rsidRPr="006452BC">
        <w:rPr>
          <w:rFonts w:asciiTheme="minorEastAsia" w:eastAsiaTheme="minorEastAsia" w:hAnsiTheme="minorEastAsia" w:hint="eastAsia"/>
          <w:sz w:val="32"/>
          <w:szCs w:val="32"/>
        </w:rPr>
        <w:lastRenderedPageBreak/>
        <w:t>度按有关规定继续使用的资金。</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九、基本支出：指为保障机构正常运转、完成日常工作任务而发生的人员支出和公用支出。</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十、项目支出：指在基本支出之外为完成特定行政任务和事业发展目标所发生的支出。</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十一、经营支出：指事业单位在专业业务活动及其辅助活动之外开展非独立核算经营活动发生的支出。</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D50CC" w:rsidRPr="006452BC" w:rsidRDefault="000F3D9D">
      <w:pPr>
        <w:ind w:firstLineChars="200" w:firstLine="640"/>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D50CC" w:rsidRPr="006452BC" w:rsidRDefault="000F3D9D">
      <w:pPr>
        <w:ind w:firstLine="645"/>
        <w:rPr>
          <w:rFonts w:asciiTheme="minorEastAsia" w:eastAsiaTheme="minorEastAsia" w:hAnsiTheme="minorEastAsia"/>
          <w:sz w:val="32"/>
          <w:szCs w:val="32"/>
        </w:rPr>
      </w:pPr>
      <w:r w:rsidRPr="006452BC">
        <w:rPr>
          <w:rFonts w:asciiTheme="minorEastAsia" w:eastAsiaTheme="minorEastAsia" w:hAnsiTheme="minorEastAsia" w:hint="eastAsia"/>
          <w:sz w:val="32"/>
          <w:szCs w:val="32"/>
        </w:rPr>
        <w:lastRenderedPageBreak/>
        <w:t>十四、（支出功能分类的名词解释，各部门（单位）根据实际支出情况填列，可参阅财政部印发的《2019年政府收支分类科目》）</w:t>
      </w:r>
    </w:p>
    <w:p w:rsidR="00ED50CC" w:rsidRPr="006F1AC1" w:rsidRDefault="00ED50CC">
      <w:pPr>
        <w:rPr>
          <w:rFonts w:asciiTheme="minorEastAsia" w:eastAsiaTheme="minorEastAsia" w:hAnsiTheme="minorEastAsia"/>
          <w:sz w:val="32"/>
          <w:szCs w:val="32"/>
        </w:rPr>
      </w:pPr>
    </w:p>
    <w:sectPr w:rsidR="00ED50CC" w:rsidRPr="006F1AC1" w:rsidSect="00CC7B42">
      <w:headerReference w:type="even" r:id="rId9"/>
      <w:headerReference w:type="default" r:id="rId10"/>
      <w:footerReference w:type="even" r:id="rId11"/>
      <w:footerReference w:type="default" r:id="rId12"/>
      <w:pgSz w:w="11906" w:h="16838" w:code="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09" w:rsidRDefault="004F7109" w:rsidP="00ED50CC">
      <w:r>
        <w:separator/>
      </w:r>
    </w:p>
  </w:endnote>
  <w:endnote w:type="continuationSeparator" w:id="0">
    <w:p w:rsidR="004F7109" w:rsidRDefault="004F7109" w:rsidP="00ED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00" w:usb3="00000000" w:csb0="00040000" w:csb1="00000000"/>
  </w:font>
  <w:font w:name="楷体_GB2312">
    <w:altName w:val="黑体"/>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C" w:rsidRDefault="002A697D">
    <w:pPr>
      <w:pStyle w:val="a3"/>
      <w:framePr w:wrap="around" w:vAnchor="text" w:hAnchor="margin" w:xAlign="center" w:y="1"/>
      <w:rPr>
        <w:rStyle w:val="a5"/>
      </w:rPr>
    </w:pPr>
    <w:r>
      <w:fldChar w:fldCharType="begin"/>
    </w:r>
    <w:r w:rsidR="000F3D9D">
      <w:rPr>
        <w:rStyle w:val="a5"/>
      </w:rPr>
      <w:instrText xml:space="preserve">PAGE  </w:instrText>
    </w:r>
    <w:r>
      <w:fldChar w:fldCharType="end"/>
    </w:r>
  </w:p>
  <w:p w:rsidR="00ED50CC" w:rsidRDefault="00ED50C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C" w:rsidRDefault="002A697D">
    <w:pPr>
      <w:pStyle w:val="a3"/>
      <w:framePr w:wrap="around" w:vAnchor="text" w:hAnchor="margin" w:xAlign="center" w:y="1"/>
      <w:rPr>
        <w:rStyle w:val="a5"/>
      </w:rPr>
    </w:pPr>
    <w:r>
      <w:fldChar w:fldCharType="begin"/>
    </w:r>
    <w:r w:rsidR="000F3D9D">
      <w:rPr>
        <w:rStyle w:val="a5"/>
      </w:rPr>
      <w:instrText xml:space="preserve">PAGE  </w:instrText>
    </w:r>
    <w:r>
      <w:fldChar w:fldCharType="separate"/>
    </w:r>
    <w:r w:rsidR="00B46E31">
      <w:rPr>
        <w:rStyle w:val="a5"/>
        <w:noProof/>
      </w:rPr>
      <w:t>16</w:t>
    </w:r>
    <w:r>
      <w:fldChar w:fldCharType="end"/>
    </w:r>
  </w:p>
  <w:p w:rsidR="00ED50CC" w:rsidRDefault="00ED50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09" w:rsidRDefault="004F7109" w:rsidP="00ED50CC">
      <w:r>
        <w:separator/>
      </w:r>
    </w:p>
  </w:footnote>
  <w:footnote w:type="continuationSeparator" w:id="0">
    <w:p w:rsidR="004F7109" w:rsidRDefault="004F7109" w:rsidP="00ED5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42" w:rsidRDefault="00CC7B42" w:rsidP="00CC7B4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42" w:rsidRDefault="00CC7B42" w:rsidP="00CC7B4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09F8D"/>
    <w:multiLevelType w:val="singleLevel"/>
    <w:tmpl w:val="72109F8D"/>
    <w:lvl w:ilvl="0">
      <w:start w:val="7"/>
      <w:numFmt w:val="chineseCounting"/>
      <w:suff w:val="nothing"/>
      <w:lvlText w:val="%1、"/>
      <w:lvlJc w:val="left"/>
      <w:rPr>
        <w:rFonts w:hint="eastAsia"/>
      </w:rPr>
    </w:lvl>
  </w:abstractNum>
  <w:abstractNum w:abstractNumId="1">
    <w:nsid w:val="726B5376"/>
    <w:multiLevelType w:val="hybridMultilevel"/>
    <w:tmpl w:val="1BB677D8"/>
    <w:lvl w:ilvl="0" w:tplc="4B243C0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12B"/>
    <w:rsid w:val="00061C4D"/>
    <w:rsid w:val="000B5915"/>
    <w:rsid w:val="000E69FC"/>
    <w:rsid w:val="000F20FB"/>
    <w:rsid w:val="000F3D9D"/>
    <w:rsid w:val="000F424A"/>
    <w:rsid w:val="001229CB"/>
    <w:rsid w:val="00143BFC"/>
    <w:rsid w:val="00145D0F"/>
    <w:rsid w:val="00145D9F"/>
    <w:rsid w:val="00193017"/>
    <w:rsid w:val="00204503"/>
    <w:rsid w:val="002431FF"/>
    <w:rsid w:val="00250644"/>
    <w:rsid w:val="0029001A"/>
    <w:rsid w:val="002A697D"/>
    <w:rsid w:val="002C51A8"/>
    <w:rsid w:val="00375E51"/>
    <w:rsid w:val="00380D34"/>
    <w:rsid w:val="003955A5"/>
    <w:rsid w:val="00444E42"/>
    <w:rsid w:val="004707D4"/>
    <w:rsid w:val="004806F2"/>
    <w:rsid w:val="004B4C82"/>
    <w:rsid w:val="004F7109"/>
    <w:rsid w:val="00511597"/>
    <w:rsid w:val="00533704"/>
    <w:rsid w:val="0054072C"/>
    <w:rsid w:val="00561BB4"/>
    <w:rsid w:val="00572650"/>
    <w:rsid w:val="005B0544"/>
    <w:rsid w:val="006015BB"/>
    <w:rsid w:val="00605801"/>
    <w:rsid w:val="00631655"/>
    <w:rsid w:val="00642890"/>
    <w:rsid w:val="006452BC"/>
    <w:rsid w:val="006702D0"/>
    <w:rsid w:val="006C7D5E"/>
    <w:rsid w:val="006E1703"/>
    <w:rsid w:val="006F1603"/>
    <w:rsid w:val="006F1AC1"/>
    <w:rsid w:val="006F24D6"/>
    <w:rsid w:val="006F612B"/>
    <w:rsid w:val="007126D7"/>
    <w:rsid w:val="007151BE"/>
    <w:rsid w:val="00720603"/>
    <w:rsid w:val="0076084F"/>
    <w:rsid w:val="0079012D"/>
    <w:rsid w:val="007915D0"/>
    <w:rsid w:val="00797388"/>
    <w:rsid w:val="007A3010"/>
    <w:rsid w:val="0083036A"/>
    <w:rsid w:val="00846837"/>
    <w:rsid w:val="008C2B38"/>
    <w:rsid w:val="008E703B"/>
    <w:rsid w:val="00917802"/>
    <w:rsid w:val="00957367"/>
    <w:rsid w:val="00965CFD"/>
    <w:rsid w:val="00985541"/>
    <w:rsid w:val="009B40AD"/>
    <w:rsid w:val="009F0652"/>
    <w:rsid w:val="00A1408A"/>
    <w:rsid w:val="00A426D4"/>
    <w:rsid w:val="00A62502"/>
    <w:rsid w:val="00A74168"/>
    <w:rsid w:val="00A93889"/>
    <w:rsid w:val="00AA14ED"/>
    <w:rsid w:val="00AC33A1"/>
    <w:rsid w:val="00B419AB"/>
    <w:rsid w:val="00B46DD3"/>
    <w:rsid w:val="00B46E31"/>
    <w:rsid w:val="00B73867"/>
    <w:rsid w:val="00BB1FA3"/>
    <w:rsid w:val="00BD3369"/>
    <w:rsid w:val="00C27EB3"/>
    <w:rsid w:val="00C42B65"/>
    <w:rsid w:val="00C65FCB"/>
    <w:rsid w:val="00C76D02"/>
    <w:rsid w:val="00CC7B42"/>
    <w:rsid w:val="00CF141B"/>
    <w:rsid w:val="00D66867"/>
    <w:rsid w:val="00DA521E"/>
    <w:rsid w:val="00E75B20"/>
    <w:rsid w:val="00EB7ADD"/>
    <w:rsid w:val="00ED0AE1"/>
    <w:rsid w:val="00ED50CC"/>
    <w:rsid w:val="00EF2095"/>
    <w:rsid w:val="00F175EA"/>
    <w:rsid w:val="00F22634"/>
    <w:rsid w:val="00F71DF6"/>
    <w:rsid w:val="00FD5FE6"/>
    <w:rsid w:val="00FF2F46"/>
    <w:rsid w:val="00FF5495"/>
    <w:rsid w:val="1BE21A94"/>
    <w:rsid w:val="2C4E022C"/>
    <w:rsid w:val="37601F41"/>
    <w:rsid w:val="4E5C1C80"/>
    <w:rsid w:val="6B6A0388"/>
    <w:rsid w:val="6E8B1F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CC"/>
    <w:pPr>
      <w:widowControl w:val="0"/>
      <w:jc w:val="both"/>
    </w:pPr>
    <w:rPr>
      <w:rFonts w:ascii="Times New Roman" w:eastAsia="宋体" w:hAnsi="Times New Roman" w:cs="Times New Roman"/>
      <w:kern w:val="2"/>
      <w:sz w:val="21"/>
      <w:szCs w:val="24"/>
    </w:rPr>
  </w:style>
  <w:style w:type="paragraph" w:styleId="4">
    <w:name w:val="heading 4"/>
    <w:basedOn w:val="a"/>
    <w:next w:val="a"/>
    <w:link w:val="4Char"/>
    <w:unhideWhenUsed/>
    <w:qFormat/>
    <w:rsid w:val="00A426D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D50C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50CC"/>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D50CC"/>
  </w:style>
  <w:style w:type="character" w:customStyle="1" w:styleId="Char">
    <w:name w:val="页脚 Char"/>
    <w:basedOn w:val="a0"/>
    <w:link w:val="a3"/>
    <w:qFormat/>
    <w:rsid w:val="00ED50CC"/>
    <w:rPr>
      <w:rFonts w:ascii="Times New Roman" w:eastAsia="宋体" w:hAnsi="Times New Roman" w:cs="Times New Roman"/>
      <w:sz w:val="18"/>
      <w:szCs w:val="18"/>
    </w:rPr>
  </w:style>
  <w:style w:type="paragraph" w:customStyle="1" w:styleId="1CharCharChar">
    <w:name w:val="正文1 Char Char Char"/>
    <w:basedOn w:val="a"/>
    <w:qFormat/>
    <w:rsid w:val="00ED50CC"/>
    <w:pPr>
      <w:spacing w:line="360" w:lineRule="auto"/>
      <w:ind w:firstLineChars="200" w:firstLine="200"/>
    </w:pPr>
  </w:style>
  <w:style w:type="paragraph" w:customStyle="1" w:styleId="WPSOffice2">
    <w:name w:val="WPSOffice手动目录 2"/>
    <w:qFormat/>
    <w:rsid w:val="00ED50CC"/>
    <w:pPr>
      <w:ind w:leftChars="200" w:left="200"/>
    </w:pPr>
    <w:rPr>
      <w:rFonts w:ascii="Times New Roman" w:eastAsia="宋体" w:hAnsi="Times New Roman" w:cs="Times New Roman"/>
    </w:rPr>
  </w:style>
  <w:style w:type="paragraph" w:customStyle="1" w:styleId="WPSOffice1">
    <w:name w:val="WPSOffice手动目录 1"/>
    <w:rsid w:val="00ED50CC"/>
    <w:rPr>
      <w:rFonts w:ascii="Times New Roman" w:eastAsia="宋体" w:hAnsi="Times New Roman" w:cs="Times New Roman"/>
    </w:rPr>
  </w:style>
  <w:style w:type="character" w:customStyle="1" w:styleId="Char0">
    <w:name w:val="页眉 Char"/>
    <w:basedOn w:val="a0"/>
    <w:link w:val="a4"/>
    <w:uiPriority w:val="99"/>
    <w:semiHidden/>
    <w:qFormat/>
    <w:rsid w:val="00ED50CC"/>
    <w:rPr>
      <w:rFonts w:ascii="Times New Roman" w:eastAsia="宋体" w:hAnsi="Times New Roman" w:cs="Times New Roman"/>
      <w:sz w:val="18"/>
      <w:szCs w:val="18"/>
    </w:rPr>
  </w:style>
  <w:style w:type="paragraph" w:styleId="a6">
    <w:name w:val="List Paragraph"/>
    <w:basedOn w:val="a"/>
    <w:uiPriority w:val="99"/>
    <w:unhideWhenUsed/>
    <w:rsid w:val="00145D9F"/>
    <w:pPr>
      <w:ind w:firstLineChars="200" w:firstLine="420"/>
    </w:pPr>
  </w:style>
  <w:style w:type="character" w:customStyle="1" w:styleId="4Char">
    <w:name w:val="标题 4 Char"/>
    <w:basedOn w:val="a0"/>
    <w:link w:val="4"/>
    <w:rsid w:val="00A426D4"/>
    <w:rPr>
      <w:rFonts w:ascii="Cambria" w:eastAsia="宋体" w:hAnsi="Cambria" w:cs="Times New Roman"/>
      <w:b/>
      <w:bCs/>
      <w:kern w:val="2"/>
      <w:sz w:val="28"/>
      <w:szCs w:val="28"/>
    </w:rPr>
  </w:style>
  <w:style w:type="paragraph" w:customStyle="1" w:styleId="TableParagraph">
    <w:name w:val="Table Paragraph"/>
    <w:basedOn w:val="a"/>
    <w:uiPriority w:val="1"/>
    <w:qFormat/>
    <w:rsid w:val="00A426D4"/>
    <w:pPr>
      <w:spacing w:before="8"/>
    </w:pPr>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67AC7-0085-4022-A046-9A09CC16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1213</Words>
  <Characters>6920</Characters>
  <Application>Microsoft Office Word</Application>
  <DocSecurity>0</DocSecurity>
  <Lines>57</Lines>
  <Paragraphs>16</Paragraphs>
  <ScaleCrop>false</ScaleCrop>
  <Company>微软中国</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40</cp:revision>
  <cp:lastPrinted>2021-09-23T10:40:00Z</cp:lastPrinted>
  <dcterms:created xsi:type="dcterms:W3CDTF">2021-09-23T09:21:00Z</dcterms:created>
  <dcterms:modified xsi:type="dcterms:W3CDTF">2021-09-27T02:46:00Z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083FAAF54BC54696932414F84833C4A7</vt:lpwstr>
  </property>
</Properties>
</file>