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  <w:t>三亚市老年人认知康复数字疗法任务分解表</w:t>
      </w:r>
      <w:bookmarkEnd w:id="0"/>
    </w:p>
    <w:tbl>
      <w:tblPr>
        <w:tblStyle w:val="3"/>
        <w:tblW w:w="957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063"/>
        <w:gridCol w:w="1388"/>
        <w:gridCol w:w="1750"/>
        <w:gridCol w:w="17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项目具体实施单位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（医疗卫生机构）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拟完成任务数（人）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项目负责人及职务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三亚市人民医院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梁丽萍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老龄科主任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15120744939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三亚中心医院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王超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医务科副主任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18389264876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三亚市育才医院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孙少宁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副院长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13876850858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三亚市天涯区三亚湾社区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卫生服务中心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陈才琦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慢病副组长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13976282468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三亚市吉阳区海罗社区卫生健康服务中心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王扬冰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公卫医师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18789320725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三亚市海棠区林旺医院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公卫组组长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15008060803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三亚市崖州区崖城卫生院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林书敏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副院长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13617573995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8582E"/>
    <w:rsid w:val="563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2023-04-28T03:51:00Z</dcterms:created>
  <dc:creator>adminstrator</dc:creator>
  <cp:lastModifiedBy>adminstrator</cp:lastModifiedBy>
  <dcterms:modified xsi:type="dcterms:W3CDTF">2023-04-28T03:51:37Z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