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附件2-5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2022年中国公民中医药健康文化素养调查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省级调查完成情况上报表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ascii="Times New Roman" w:hAnsi="Times New Roman" w:eastAsia="仿宋_GB2312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国家中医药管理局办公室：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我省（区、市）已经完成中国公民中医药健康文化素养调查现场调查工作，现上报各调查点答题卡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份，请查收。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附件：1.省（区、市）202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年中国公民中医药健康文化素养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调查完成情况汇总表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600" w:firstLineChars="5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2.答题卡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600" w:firstLineChars="5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3.其他工作表格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9" w:firstLineChars="181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9" w:firstLineChars="181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120" w:firstLineChars="35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上报单位（盖章）：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856" w:firstLineChars="58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年      月     日</w:t>
      </w:r>
    </w:p>
    <w:p>
      <w:pPr>
        <w:adjustRightInd/>
        <w:spacing w:line="240" w:lineRule="auto"/>
        <w:ind w:left="0" w:firstLine="0"/>
        <w:jc w:val="both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4"/>
        </w:rPr>
        <w:t xml:space="preserve"> </w:t>
      </w:r>
    </w:p>
    <w:p>
      <w:pPr>
        <w:adjustRightInd/>
        <w:spacing w:line="240" w:lineRule="auto"/>
        <w:ind w:left="0" w:firstLine="0"/>
        <w:jc w:val="both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adjustRightInd/>
        <w:spacing w:line="240" w:lineRule="auto"/>
        <w:ind w:left="0" w:firstLine="0"/>
        <w:jc w:val="both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adjustRightInd/>
        <w:spacing w:line="240" w:lineRule="auto"/>
        <w:ind w:left="0" w:firstLine="0"/>
        <w:jc w:val="both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adjustRightInd/>
        <w:spacing w:line="600" w:lineRule="exact"/>
        <w:ind w:left="0" w:firstLine="0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ascii="方正小标宋_GBK" w:hAnsi="Times New Roman" w:eastAsia="方正小标宋_GBK" w:cs="Times New Roman"/>
          <w:color w:val="000000"/>
          <w:sz w:val="44"/>
          <w:szCs w:val="44"/>
        </w:rPr>
        <w:br w:type="page"/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eastAsia="zh-CN"/>
        </w:rPr>
        <w:t>市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（区）2022年中国公民中医药</w:t>
      </w:r>
    </w:p>
    <w:p>
      <w:pPr>
        <w:adjustRightInd/>
        <w:spacing w:line="600" w:lineRule="exact"/>
        <w:ind w:left="0" w:firstLine="0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健康文化素养调查完成情况汇总表</w:t>
      </w:r>
    </w:p>
    <w:p>
      <w:pPr>
        <w:adjustRightInd/>
        <w:spacing w:line="240" w:lineRule="auto"/>
        <w:ind w:left="0" w:firstLine="0"/>
        <w:jc w:val="both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 xml:space="preserve"> </w:t>
      </w:r>
    </w:p>
    <w:p>
      <w:pPr>
        <w:adjustRightInd/>
        <w:spacing w:line="240" w:lineRule="auto"/>
        <w:ind w:left="0" w:firstLine="117" w:firstLineChars="49"/>
        <w:jc w:val="both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宋体" w:hAnsi="宋体" w:eastAsia="宋体" w:cs="Times New Roman"/>
          <w:color w:val="000000"/>
          <w:sz w:val="24"/>
          <w:szCs w:val="24"/>
        </w:rPr>
        <w:t>填表单位：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      </w:t>
      </w:r>
      <w:r>
        <w:rPr>
          <w:rFonts w:ascii="宋体" w:hAnsi="宋体" w:eastAsia="宋体" w:cs="Times New Roman"/>
          <w:color w:val="000000"/>
          <w:sz w:val="24"/>
          <w:szCs w:val="24"/>
        </w:rPr>
        <w:t>填表人：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     </w:t>
      </w:r>
      <w:r>
        <w:rPr>
          <w:rFonts w:ascii="宋体" w:hAnsi="宋体" w:eastAsia="宋体" w:cs="Times New Roman"/>
          <w:color w:val="000000"/>
          <w:sz w:val="24"/>
          <w:szCs w:val="24"/>
        </w:rPr>
        <w:t>日期：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   </w:t>
      </w:r>
    </w:p>
    <w:p>
      <w:pPr>
        <w:adjustRightInd/>
        <w:spacing w:line="240" w:lineRule="auto"/>
        <w:ind w:left="0" w:firstLine="0"/>
        <w:jc w:val="both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</w:t>
      </w:r>
    </w:p>
    <w:tbl>
      <w:tblPr>
        <w:tblStyle w:val="2"/>
        <w:tblW w:w="9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870"/>
        <w:gridCol w:w="2794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调查点名称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实际调查户数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完成问卷数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12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adjustRightInd/>
        <w:spacing w:before="156" w:beforeLines="50" w:line="240" w:lineRule="auto"/>
        <w:ind w:left="0" w:firstLine="0"/>
        <w:jc w:val="both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宋体" w:hAnsi="宋体" w:eastAsia="宋体" w:cs="Times New Roman"/>
          <w:color w:val="000000"/>
          <w:sz w:val="21"/>
          <w:szCs w:val="24"/>
        </w:rPr>
        <w:t>注：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1.</w:t>
      </w:r>
      <w:r>
        <w:rPr>
          <w:rFonts w:ascii="宋体" w:hAnsi="宋体" w:eastAsia="宋体" w:cs="Times New Roman"/>
          <w:color w:val="000000"/>
          <w:sz w:val="21"/>
          <w:szCs w:val="24"/>
        </w:rPr>
        <w:t>本表由省级质控员汇总填写。</w:t>
      </w:r>
    </w:p>
    <w:p>
      <w:pPr>
        <w:numPr>
          <w:ilvl w:val="0"/>
          <w:numId w:val="1"/>
        </w:numPr>
        <w:adjustRightInd/>
        <w:spacing w:line="240" w:lineRule="auto"/>
        <w:ind w:left="0" w:firstLine="420" w:firstLineChars="200"/>
        <w:jc w:val="both"/>
        <w:rPr>
          <w:rFonts w:ascii="Times New Roman" w:hAnsi="Times New Roman" w:eastAsia="宋体" w:cs="Times New Roman"/>
          <w:color w:val="000000"/>
          <w:sz w:val="21"/>
          <w:szCs w:val="24"/>
        </w:rPr>
      </w:pPr>
      <w:r>
        <w:rPr>
          <w:rFonts w:ascii="宋体" w:hAnsi="宋体" w:eastAsia="宋体" w:cs="Times New Roman"/>
          <w:color w:val="000000"/>
          <w:sz w:val="21"/>
          <w:szCs w:val="24"/>
        </w:rPr>
        <w:t>实际调查户数指实际调查的家庭户数。</w:t>
      </w:r>
    </w:p>
    <w:p>
      <w:pPr>
        <w:adjustRightInd/>
        <w:spacing w:line="240" w:lineRule="auto"/>
        <w:ind w:left="0" w:firstLine="0"/>
        <w:jc w:val="both"/>
        <w:rPr>
          <w:rFonts w:ascii="Times New Roman" w:hAnsi="Times New Roman" w:eastAsia="宋体" w:cs="Times New Roman"/>
          <w:color w:val="000000"/>
          <w:sz w:val="21"/>
          <w:szCs w:val="24"/>
        </w:rPr>
      </w:pPr>
      <w:r>
        <w:rPr>
          <w:rFonts w:ascii="Times New Roman" w:hAnsi="Times New Roman" w:eastAsia="宋体" w:cs="Times New Roman"/>
          <w:color w:val="000000"/>
          <w:sz w:val="21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E2C33"/>
    <w:rsid w:val="2ED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2022-06-01T08:46:00Z</dcterms:created>
  <dc:creator>adminstrator</dc:creator>
  <cp:lastModifiedBy>adminstrator</cp:lastModifiedBy>
  <dcterms:modified xsi:type="dcterms:W3CDTF">2022-06-01T08:47:32Z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