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240" w:lineRule="auto"/>
        <w:ind w:left="0" w:firstLine="0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附件2-6</w:t>
      </w:r>
    </w:p>
    <w:bookmarkEnd w:id="0"/>
    <w:p>
      <w:pPr>
        <w:adjustRightInd/>
        <w:snapToGrid w:val="0"/>
        <w:spacing w:line="240" w:lineRule="auto"/>
        <w:ind w:left="0" w:firstLine="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健康素养和中医药健康文化素养复核调查表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eastAsia="宋体" w:cs="Times New Roman"/>
          <w:b/>
          <w:color w:val="000000"/>
          <w:sz w:val="24"/>
          <w:szCs w:val="24"/>
        </w:rPr>
        <w:t>省（区、市）县（市、区）街道（乡镇）居委会（村）</w:t>
      </w:r>
    </w:p>
    <w:tbl>
      <w:tblPr>
        <w:tblStyle w:val="2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92"/>
        <w:gridCol w:w="851"/>
        <w:gridCol w:w="1134"/>
        <w:gridCol w:w="708"/>
        <w:gridCol w:w="1134"/>
        <w:gridCol w:w="1021"/>
        <w:gridCol w:w="709"/>
        <w:gridCol w:w="1134"/>
        <w:gridCol w:w="709"/>
        <w:gridCol w:w="1134"/>
        <w:gridCol w:w="1134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居民户地址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KISH</w:t>
            </w:r>
            <w:r>
              <w:rPr>
                <w:rFonts w:ascii="宋体" w:hAnsi="宋体" w:eastAsia="宋体" w:cs="Times New Roman"/>
                <w:b/>
                <w:color w:val="000000"/>
                <w:sz w:val="20"/>
                <w:szCs w:val="20"/>
              </w:rPr>
              <w:t>表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原始问卷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复核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1"/>
                <w:szCs w:val="24"/>
              </w:rPr>
              <w:t>是否一致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调查对象姓名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出生年月时间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职业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调查对象姓名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出生年月时间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  <w:t>职业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320" w:lineRule="exact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</w:tbl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4"/>
        </w:rPr>
        <w:t>总体建议：</w:t>
      </w:r>
      <w:r>
        <w:rPr>
          <w:rFonts w:hint="eastAsia" w:ascii="宋体" w:hAnsi="宋体" w:eastAsia="宋体" w:cs="Times New Roman"/>
          <w:b/>
          <w:color w:val="000000"/>
          <w:sz w:val="21"/>
          <w:szCs w:val="24"/>
        </w:rPr>
        <w:t>①</w:t>
      </w:r>
      <w:r>
        <w:rPr>
          <w:rFonts w:ascii="宋体" w:hAnsi="宋体" w:eastAsia="宋体" w:cs="Times New Roman"/>
          <w:b/>
          <w:color w:val="000000"/>
          <w:sz w:val="21"/>
          <w:szCs w:val="24"/>
        </w:rPr>
        <w:t>合格</w:t>
      </w:r>
      <w:r>
        <w:rPr>
          <w:rFonts w:hint="eastAsia" w:ascii="宋体" w:hAnsi="宋体" w:eastAsia="宋体" w:cs="Times New Roman"/>
          <w:b/>
          <w:color w:val="000000"/>
          <w:sz w:val="21"/>
          <w:szCs w:val="24"/>
        </w:rPr>
        <w:t>②</w:t>
      </w:r>
      <w:r>
        <w:rPr>
          <w:rFonts w:ascii="宋体" w:hAnsi="宋体" w:eastAsia="宋体" w:cs="Times New Roman"/>
          <w:b/>
          <w:color w:val="000000"/>
          <w:sz w:val="21"/>
          <w:szCs w:val="24"/>
        </w:rPr>
        <w:t>不合格</w:t>
      </w:r>
    </w:p>
    <w:p>
      <w:pPr>
        <w:adjustRightInd/>
        <w:spacing w:line="240" w:lineRule="auto"/>
        <w:ind w:left="0" w:firstLine="0"/>
        <w:jc w:val="both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ascii="Times New Roman" w:hAnsi="Times New Roman" w:eastAsia="宋体" w:cs="Times New Roman"/>
          <w:color w:val="000000"/>
          <w:sz w:val="21"/>
          <w:szCs w:val="24"/>
        </w:rPr>
        <w:t>注：1、市县区级督导组填写复核结果表，每个居委会（村）复核5人。5项指标有1项不一致则为不一致，不一致比例&gt;20%，则该地调查工作质量不合格。</w:t>
      </w:r>
    </w:p>
    <w:p>
      <w:pPr>
        <w:adjustRightInd/>
        <w:spacing w:line="240" w:lineRule="auto"/>
        <w:ind w:left="0" w:firstLine="420" w:firstLineChars="200"/>
        <w:jc w:val="both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ascii="Times New Roman" w:hAnsi="Times New Roman" w:eastAsia="宋体" w:cs="Times New Roman"/>
          <w:color w:val="000000"/>
          <w:sz w:val="21"/>
          <w:szCs w:val="24"/>
        </w:rPr>
        <w:t>2、省级督导组填写复核结果表，每个县区复核15人。5项指标有1项不一致则为不一致，不一致比例&gt;20%，则该地调查工作质量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不合格。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B02D1"/>
    <w:rsid w:val="348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2022-06-01T08:48:00Z</dcterms:created>
  <dc:creator>adminstrator</dc:creator>
  <cp:lastModifiedBy>adminstrator</cp:lastModifiedBy>
  <dcterms:modified xsi:type="dcterms:W3CDTF">2022-06-01T08:48:53Z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