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 w:val="0"/>
        <w:overflowPunct/>
        <w:topLinePunct w:val="0"/>
        <w:autoSpaceDN/>
        <w:bidi w:val="0"/>
        <w:adjustRightInd/>
        <w:spacing w:before="0" w:beforeAutospacing="0" w:after="0" w:afterAutospacing="0" w:line="56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 w:val="0"/>
        <w:overflowPunct/>
        <w:topLinePunct w:val="0"/>
        <w:autoSpaceDN/>
        <w:bidi w:val="0"/>
        <w:adjustRightInd/>
        <w:spacing w:before="0" w:beforeAutospacing="0" w:after="0" w:afterAutospacing="0" w:line="560" w:lineRule="exact"/>
        <w:ind w:left="0" w:leftChars="0"/>
        <w:jc w:val="center"/>
        <w:rPr>
          <w:rFonts w:hint="eastAsia" w:ascii="微软简标宋" w:hAnsi="微软简标宋" w:eastAsia="微软简标宋" w:cs="微软简标宋"/>
          <w:sz w:val="36"/>
          <w:szCs w:val="36"/>
          <w:shd w:val="clear" w:color="auto" w:fill="FFFFFF"/>
        </w:rPr>
      </w:pPr>
      <w:r>
        <w:rPr>
          <w:rFonts w:hint="eastAsia" w:ascii="微软简标宋" w:hAnsi="微软简标宋" w:eastAsia="微软简标宋" w:cs="微软简标宋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项目资金测算表（分各区）</w:t>
      </w:r>
    </w:p>
    <w:bookmarkEnd w:id="0"/>
    <w:tbl>
      <w:tblPr>
        <w:tblStyle w:val="5"/>
        <w:tblW w:w="9655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239"/>
        <w:gridCol w:w="1803"/>
        <w:gridCol w:w="185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60岁及以上常住人口数（人）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完成任务数（人）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天涯区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39799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43.75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吉阳区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38807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5000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43.75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崖州区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16007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2364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20.68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海棠区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12821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1500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13.12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育才生态区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0"/>
                <w:szCs w:val="30"/>
                <w:u w:val="none"/>
                <w:lang w:val="en" w:eastAsia="zh-CN"/>
              </w:rPr>
              <w:t>并入天涯区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651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5.7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合计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107434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14515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127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 w:val="0"/>
        <w:overflowPunct/>
        <w:topLinePunct w:val="0"/>
        <w:autoSpaceDN/>
        <w:bidi w:val="0"/>
        <w:adjustRightInd/>
        <w:spacing w:before="0" w:beforeAutospacing="0" w:after="0" w:afterAutospacing="0" w:line="560" w:lineRule="exact"/>
        <w:ind w:left="0" w:leftChars="0"/>
        <w:jc w:val="both"/>
        <w:rPr>
          <w:rFonts w:hint="eastAsia" w:ascii="黑体" w:hAnsi="宋体" w:eastAsia="黑体" w:cs="黑体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FFFFFF"/>
          <w:lang w:eastAsia="zh-CN"/>
        </w:rPr>
        <w:t>注：各区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60岁及以上常住人口数为第七次全国人口普查数。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5330B"/>
    <w:rsid w:val="09F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left="420" w:leftChars="200" w:firstLine="210"/>
    </w:p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2022-04-19T09:56:00Z</dcterms:created>
  <dc:creator>adminstrator</dc:creator>
  <cp:lastModifiedBy>adminstrator</cp:lastModifiedBy>
  <dcterms:modified xsi:type="dcterms:W3CDTF">2022-04-19T09:57:06Z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