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 w:val="0"/>
        <w:overflowPunct/>
        <w:topLinePunct w:val="0"/>
        <w:autoSpaceDN/>
        <w:bidi w:val="0"/>
        <w:spacing w:before="0" w:beforeLines="0" w:beforeAutospacing="0" w:after="0" w:afterLines="0" w:afterAutospacing="0" w:line="540" w:lineRule="exact"/>
        <w:ind w:left="0" w:leftChars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25"/>
          <w:highlight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25"/>
          <w:highlight w:val="none"/>
          <w:shd w:val="clear" w:color="auto" w:fill="FFFFFF"/>
        </w:rPr>
        <w:t>附件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25"/>
          <w:highlight w:val="none"/>
          <w:shd w:val="clear" w:color="auto" w:fill="FFFFFF"/>
          <w:lang w:val="en-US" w:eastAsia="zh-CN"/>
        </w:rPr>
        <w:t>4</w:t>
      </w:r>
      <w:bookmarkStart w:id="0" w:name="bookmark42"/>
      <w:bookmarkStart w:id="1" w:name="bookmark43"/>
      <w:bookmarkStart w:id="2" w:name="bookmark41"/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25"/>
          <w:highlight w:val="none"/>
          <w:shd w:val="clear" w:color="auto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25"/>
          <w:highlight w:val="none"/>
          <w:shd w:val="clear" w:color="auto" w:fill="FFFFFF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 w:val="0"/>
        <w:overflowPunct/>
        <w:topLinePunct w:val="0"/>
        <w:autoSpaceDN/>
        <w:bidi w:val="0"/>
        <w:spacing w:before="0" w:beforeLines="0" w:beforeAutospacing="0" w:after="0" w:afterLines="0" w:afterAutospacing="0" w:line="540" w:lineRule="exact"/>
        <w:ind w:left="0" w:leftChars="0" w:right="0"/>
        <w:jc w:val="center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</w:pPr>
      <w:bookmarkStart w:id="11" w:name="_GoBack"/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  <w:t>二价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en-US"/>
        </w:rPr>
        <w:t>HPV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  <w:t>疫苗接种知情同意书</w:t>
      </w:r>
      <w:bookmarkEnd w:id="0"/>
      <w:bookmarkEnd w:id="1"/>
      <w:bookmarkEnd w:id="2"/>
    </w:p>
    <w:bookmarkEnd w:id="11"/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ind w:left="0" w:leftChars="0" w:right="0" w:firstLine="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pacing w:val="0"/>
          <w:w w:val="100"/>
          <w:position w:val="0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40" w:lineRule="exact"/>
        <w:ind w:left="0" w:leftChars="0" w:right="0" w:firstLine="0"/>
        <w:jc w:val="both"/>
        <w:textAlignment w:val="auto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pacing w:val="0"/>
          <w:w w:val="100"/>
          <w:position w:val="0"/>
          <w:sz w:val="21"/>
          <w:szCs w:val="21"/>
          <w:highlight w:val="none"/>
        </w:rPr>
        <w:t>【疾病简介】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</w:rPr>
        <w:t>宫颈癌是女性最常见的恶性肿瘤，高危型人乳头瘤病毒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en-US" w:bidi="en-US"/>
        </w:rPr>
        <w:t>（HPV）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</w:rPr>
        <w:t>持续感染是宫颈癌发病的主要危险因素。高危型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en-US" w:bidi="en-US"/>
        </w:rPr>
        <w:t>HPV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</w:rPr>
        <w:t>有14种类型，其中最常见的16型和18型。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40" w:lineRule="exact"/>
        <w:ind w:left="0" w:leftChars="0" w:right="0" w:firstLine="0"/>
        <w:jc w:val="both"/>
        <w:textAlignment w:val="auto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pacing w:val="0"/>
          <w:w w:val="100"/>
          <w:position w:val="0"/>
          <w:sz w:val="21"/>
          <w:szCs w:val="21"/>
          <w:highlight w:val="none"/>
        </w:rPr>
        <w:t>【疫苗作用】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</w:rPr>
        <w:t>本品适用于预防因高危型人乳头瘤病毒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en-US" w:bidi="en-US"/>
        </w:rPr>
        <w:t xml:space="preserve">（HPV） 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</w:rPr>
        <w:t>16、18型所致下列疾病：宫颈癌，2级、3级宫颈上皮内瘤样病变（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en-US" w:bidi="en-US"/>
        </w:rPr>
        <w:t>CIN2/3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</w:rPr>
        <w:t>）和原位腺癌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en-US" w:bidi="en-US"/>
        </w:rPr>
        <w:t xml:space="preserve">（AIS）, 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</w:rPr>
        <w:t>1级宫颈上皮内瘤样病变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en-US" w:bidi="en-US"/>
        </w:rPr>
        <w:t>（CIN1）,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</w:rPr>
        <w:t>以及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en-US" w:bidi="en-US"/>
        </w:rPr>
        <w:t>HPV16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</w:rPr>
        <w:t>型、18型引起的持续感染。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40" w:lineRule="exact"/>
        <w:ind w:left="0" w:leftChars="0" w:right="0" w:firstLine="0"/>
        <w:jc w:val="both"/>
        <w:textAlignment w:val="auto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pacing w:val="0"/>
          <w:w w:val="100"/>
          <w:position w:val="0"/>
          <w:sz w:val="21"/>
          <w:szCs w:val="21"/>
          <w:highlight w:val="none"/>
        </w:rPr>
        <w:t>【免疫程序】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en-US" w:bidi="en-US"/>
        </w:rPr>
        <w:t>9-14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</w:rPr>
        <w:t>岁女性釆用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en-US" w:bidi="en-US"/>
        </w:rPr>
        <w:t>“0-6”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</w:rPr>
        <w:t>两剂次免疫程序，即第1剂次接种满6个月后再接种第2剂次。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40" w:lineRule="exact"/>
        <w:ind w:left="0" w:leftChars="0" w:right="0" w:firstLine="0"/>
        <w:jc w:val="both"/>
        <w:textAlignment w:val="auto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pacing w:val="0"/>
          <w:w w:val="100"/>
          <w:position w:val="0"/>
          <w:sz w:val="21"/>
          <w:szCs w:val="21"/>
          <w:highlight w:val="none"/>
        </w:rPr>
        <w:t>【接种禁忌】</w:t>
      </w:r>
      <w:bookmarkStart w:id="3" w:name="bookmark44"/>
      <w:bookmarkEnd w:id="3"/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</w:rPr>
        <w:t>对本品中任一活性成分或辅料严重过敏反应者。</w:t>
      </w:r>
      <w:bookmarkStart w:id="4" w:name="bookmark45"/>
      <w:bookmarkEnd w:id="4"/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</w:rPr>
        <w:t>注射本品后有超敏反应症状者，不应再次接种本品。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40" w:lineRule="exact"/>
        <w:ind w:left="0" w:leftChars="0" w:right="0" w:firstLine="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pacing w:val="0"/>
          <w:w w:val="100"/>
          <w:position w:val="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pacing w:val="0"/>
          <w:w w:val="100"/>
          <w:position w:val="0"/>
          <w:sz w:val="21"/>
          <w:szCs w:val="21"/>
          <w:highlight w:val="none"/>
        </w:rPr>
        <w:t>【不良反应】</w:t>
      </w:r>
      <w:bookmarkStart w:id="5" w:name="bookmark46"/>
      <w:bookmarkEnd w:id="5"/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40" w:lineRule="exact"/>
        <w:ind w:left="0" w:leftChars="0" w:right="0" w:firstLine="0"/>
        <w:jc w:val="both"/>
        <w:textAlignment w:val="auto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</w:rPr>
        <w:t>常见不良反应：疲乏、肌痛、头痛、发热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en-US" w:bidi="en-US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2"/>
          <w:szCs w:val="22"/>
          <w:highlight w:val="none"/>
          <w:shd w:val="clear" w:color="auto" w:fill="FFFFFF"/>
        </w:rPr>
        <w:t>≥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en-US" w:bidi="en-US"/>
        </w:rPr>
        <w:t>37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2"/>
          <w:szCs w:val="22"/>
          <w:highlight w:val="none"/>
          <w:shd w:val="clear" w:color="auto" w:fill="FFFFFF"/>
        </w:rPr>
        <w:t>℃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en-US" w:bidi="en-US"/>
        </w:rPr>
        <w:t>）；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</w:rPr>
        <w:t>注射部位反应疼痛、发红、肿胀；关节痛、 胃肠道症状（包括恶心、呕吐、腹泻和腹痛）、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荨麻疹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</w:rPr>
        <w:t>和皮疹。以上大部分不良反应程度为轻至中度，且短期内可自行缓解。</w:t>
      </w:r>
      <w:bookmarkStart w:id="6" w:name="bookmark47"/>
      <w:bookmarkEnd w:id="6"/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40" w:lineRule="exact"/>
        <w:ind w:left="0" w:leftChars="0" w:right="0" w:firstLine="0"/>
        <w:jc w:val="both"/>
        <w:textAlignment w:val="auto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</w:rPr>
        <w:t>不能确定发生率或因果关系：过敏反应（包括速发过敏反应和类速发过敏反应）、血管性水肿、 血小板减少性紫瘢、接种导致的晕厥或血管迷走神经反应、急性播散性脑脊髓炎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en-US" w:bidi="en-US"/>
        </w:rPr>
        <w:t>（ADEM）、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</w:rPr>
        <w:t>格林巴利综合征等。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40" w:lineRule="exact"/>
        <w:ind w:left="0" w:leftChars="0" w:right="0" w:firstLine="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pacing w:val="0"/>
          <w:w w:val="100"/>
          <w:position w:val="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pacing w:val="0"/>
          <w:w w:val="100"/>
          <w:position w:val="0"/>
          <w:sz w:val="21"/>
          <w:szCs w:val="21"/>
          <w:highlight w:val="none"/>
        </w:rPr>
        <w:t>【注意事项】</w:t>
      </w:r>
      <w:bookmarkStart w:id="7" w:name="bookmark48"/>
      <w:bookmarkEnd w:id="7"/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40" w:lineRule="exact"/>
        <w:ind w:left="0" w:leftChars="0" w:right="0" w:firstLine="0"/>
        <w:jc w:val="both"/>
        <w:textAlignment w:val="auto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</w:rPr>
        <w:t>受种者患有急性严重发热疾病时应推迟接种。如果仅为感冒等轻微感染，则无需推迟接种。</w:t>
      </w:r>
      <w:bookmarkStart w:id="8" w:name="bookmark49"/>
      <w:bookmarkEnd w:id="8"/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40" w:lineRule="exact"/>
        <w:ind w:left="0" w:leftChars="0" w:right="0" w:firstLine="0"/>
        <w:jc w:val="both"/>
        <w:textAlignment w:val="auto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</w:rPr>
        <w:t>受种者为血小板减少症患者或任何凝血功能紊乱患者应谨慎接种。</w:t>
      </w:r>
      <w:bookmarkStart w:id="9" w:name="bookmark50"/>
      <w:bookmarkEnd w:id="9"/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40" w:lineRule="exact"/>
        <w:ind w:left="0" w:leftChars="0" w:right="0" w:firstLine="0"/>
        <w:jc w:val="both"/>
        <w:textAlignment w:val="auto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3.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</w:rPr>
        <w:t>接种前3个月内避免使用免疫球蛋白或血液制品。</w:t>
      </w:r>
      <w:bookmarkStart w:id="10" w:name="bookmark51"/>
      <w:bookmarkEnd w:id="10"/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40" w:lineRule="exact"/>
        <w:ind w:left="0" w:leftChars="0" w:right="0" w:firstLine="0"/>
        <w:jc w:val="both"/>
        <w:textAlignment w:val="auto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4.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</w:rPr>
        <w:t>暂不建议全程接种国产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eastAsia="zh-CN"/>
        </w:rPr>
        <w:t>二价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en-US" w:bidi="en-US"/>
        </w:rPr>
        <w:t>HPV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</w:rPr>
        <w:t>疫苗后再接种其他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en-US" w:bidi="en-US"/>
        </w:rPr>
        <w:t>HPV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</w:rPr>
        <w:t>疫苗。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40" w:lineRule="exact"/>
        <w:ind w:left="0" w:leftChars="0" w:right="0" w:firstLine="0" w:firstLineChars="0"/>
        <w:jc w:val="both"/>
        <w:textAlignment w:val="auto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pacing w:val="0"/>
          <w:w w:val="100"/>
          <w:position w:val="0"/>
          <w:sz w:val="21"/>
          <w:szCs w:val="21"/>
          <w:highlight w:val="none"/>
        </w:rPr>
        <w:t>【郑重提示】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</w:rPr>
        <w:t>请您认真阅读以上内容，如实提供健康状况，有不明事项请咨询接种医生。接种后请在现场留观30分钟，如有不适，请及时告知接种医生。因疫苗特性或受种者个体差异等因素，疫苗保护率并非100%。接种时请务必携带身份证（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eastAsia="zh-CN"/>
        </w:rPr>
        <w:t>或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</w:rPr>
        <w:t>户口本）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eastAsia="zh-CN"/>
        </w:rPr>
        <w:t>、预防接种通知书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</w:rPr>
        <w:t>及本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知情同意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</w:rPr>
        <w:t>书。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40" w:lineRule="exact"/>
        <w:ind w:left="0" w:leftChars="0" w:right="0" w:firstLine="0" w:firstLineChars="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pacing w:val="0"/>
          <w:w w:val="100"/>
          <w:positio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pacing w:val="0"/>
          <w:w w:val="100"/>
          <w:position w:val="0"/>
          <w:sz w:val="28"/>
          <w:szCs w:val="28"/>
          <w:highlight w:val="none"/>
        </w:rPr>
        <w:t>……………………………………………………………………………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40" w:lineRule="exact"/>
        <w:ind w:left="0" w:leftChars="0" w:right="0" w:firstLine="0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pacing w:val="0"/>
          <w:w w:val="100"/>
          <w:position w:val="0"/>
          <w:sz w:val="28"/>
          <w:szCs w:val="28"/>
          <w:highlight w:val="none"/>
        </w:rPr>
        <w:t>学生家长（监护人）知情同意书回执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40" w:lineRule="exact"/>
        <w:ind w:left="0" w:leftChars="0" w:right="0" w:firstLine="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pacing w:val="0"/>
          <w:w w:val="100"/>
          <w:position w:val="0"/>
          <w:sz w:val="21"/>
          <w:szCs w:val="21"/>
          <w:highlight w:val="none"/>
        </w:rPr>
        <w:t>请在选项内打</w:t>
      </w:r>
      <w:r>
        <w:rPr>
          <w:rFonts w:hint="eastAsia" w:ascii="仿宋" w:hAnsi="仿宋" w:eastAsia="仿宋" w:cs="仿宋"/>
          <w:b/>
          <w:bCs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 w:bidi="en-US"/>
        </w:rPr>
        <w:t>“</w:t>
      </w:r>
      <w:r>
        <w:rPr>
          <w:rFonts w:hint="eastAsia" w:ascii="仿宋" w:hAnsi="仿宋" w:eastAsia="仿宋" w:cs="仿宋"/>
          <w:b/>
          <w:bCs/>
          <w:color w:val="auto"/>
          <w:spacing w:val="0"/>
          <w:w w:val="100"/>
          <w:position w:val="0"/>
          <w:sz w:val="21"/>
          <w:szCs w:val="21"/>
          <w:highlight w:val="none"/>
        </w:rPr>
        <w:t>√ ”：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40" w:lineRule="exact"/>
        <w:ind w:left="0" w:leftChars="0" w:right="0" w:firstLine="420"/>
        <w:jc w:val="both"/>
        <w:textAlignment w:val="auto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</w:rPr>
        <w:sym w:font="Wingdings 2" w:char="00A3"/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</w:rPr>
        <w:t>同意接种免费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eastAsia="zh-CN"/>
        </w:rPr>
        <w:t>二价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en-US" w:bidi="en-US"/>
        </w:rPr>
        <w:t>HPV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</w:rPr>
        <w:t>疫苗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eastAsia="zh-CN"/>
        </w:rPr>
        <w:t>，并陪同前往接种点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40" w:lineRule="exact"/>
        <w:ind w:left="0" w:leftChars="0" w:right="0" w:firstLine="420"/>
        <w:jc w:val="both"/>
        <w:textAlignment w:val="auto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</w:rPr>
        <w:sym w:font="Wingdings 2" w:char="00A3"/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</w:rPr>
        <w:t>同意接种免费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eastAsia="zh-CN"/>
        </w:rPr>
        <w:t>二价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en-US" w:bidi="en-US"/>
        </w:rPr>
        <w:t>HPV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</w:rPr>
        <w:t>疫苗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无法陪同前往接种点，委托他人陪同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40" w:lineRule="exact"/>
        <w:ind w:left="0" w:leftChars="0" w:right="0" w:firstLine="420"/>
        <w:jc w:val="both"/>
        <w:textAlignment w:val="auto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</w:rPr>
        <w:sym w:font="Wingdings 2" w:char="00A3"/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</w:rPr>
        <w:t>不同意接种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已接种过其他HPV疫苗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40" w:lineRule="exact"/>
        <w:ind w:left="0" w:leftChars="0" w:right="0" w:firstLine="420"/>
        <w:jc w:val="both"/>
        <w:textAlignment w:val="auto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</w:rPr>
        <w:sym w:font="Wingdings 2" w:char="00A3"/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</w:rPr>
        <w:t>不同意接种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其他原因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firstLine="0" w:firstLineChars="0"/>
        <w:jc w:val="both"/>
        <w:textAlignment w:val="auto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</w:rPr>
        <w:t>学生姓名：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</w:rPr>
        <w:t>出生日期：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</w:rPr>
        <w:t>学校：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</w:rPr>
        <w:t>班级：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firstLine="0" w:firstLineChars="0"/>
        <w:jc w:val="both"/>
        <w:textAlignment w:val="auto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sectPr>
          <w:pgSz w:w="11905" w:h="16838"/>
          <w:pgMar w:top="2098" w:right="1531" w:bottom="1984" w:left="1531" w:header="850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27" w:charSpace="0"/>
        </w:sectPr>
      </w:pP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家长（监护人）签字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</w:rPr>
        <w:t>：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</w:rPr>
        <w:t>日期：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 xml:space="preserve">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DB2F71"/>
    <w:rsid w:val="09DB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99"/>
    <w:pPr>
      <w:widowControl/>
      <w:spacing w:line="288" w:lineRule="auto"/>
      <w:ind w:firstLine="680"/>
    </w:pPr>
    <w:rPr>
      <w:rFonts w:eastAsia="楷体_GB2312"/>
      <w:sz w:val="32"/>
      <w:szCs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2022-03-18T07:58:00Z</dcterms:created>
  <dc:creator>adminstrator</dc:creator>
  <cp:lastModifiedBy>adminstrator</cp:lastModifiedBy>
  <dcterms:modified xsi:type="dcterms:W3CDTF">2022-03-18T07:58:54Z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