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after="0" w:line="240" w:lineRule="auto"/>
        <w:jc w:val="left"/>
        <w:outlineLvl w:val="0"/>
        <w:rPr>
          <w:rFonts w:ascii="Times New Roman" w:hAnsi="Times New Roman" w:eastAsia="仿宋_GB2312"/>
          <w:sz w:val="44"/>
          <w:szCs w:val="44"/>
        </w:rPr>
      </w:pPr>
      <w:bookmarkStart w:id="0" w:name="_Toc388365064"/>
      <w:bookmarkStart w:id="1" w:name="_Toc388365128"/>
      <w:bookmarkStart w:id="2" w:name="_Toc387140361"/>
      <w:bookmarkStart w:id="3" w:name="_Toc383693111"/>
      <w:bookmarkStart w:id="4" w:name="_Toc386093774"/>
      <w:r>
        <w:rPr>
          <w:rFonts w:hint="eastAsia" w:ascii="黑体" w:hAnsi="黑体" w:eastAsia="黑体" w:cs="黑体"/>
          <w:b w:val="0"/>
          <w:bCs w:val="0"/>
          <w:kern w:val="0"/>
        </w:rPr>
        <w:t>附件5-</w:t>
      </w:r>
      <w:r>
        <w:rPr>
          <w:rFonts w:hint="eastAsia" w:ascii="黑体" w:hAnsi="黑体" w:eastAsia="黑体" w:cs="黑体"/>
          <w:b w:val="0"/>
          <w:bCs w:val="0"/>
          <w:kern w:val="0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</w:rPr>
        <w:t xml:space="preserve"> </w:t>
      </w:r>
      <w:r>
        <w:rPr>
          <w:rFonts w:ascii="Times New Roman" w:hAnsi="Times New Roman" w:eastAsia="仿宋_GB2312"/>
          <w:sz w:val="44"/>
          <w:szCs w:val="44"/>
        </w:rPr>
        <w:t xml:space="preserve">           </w:t>
      </w:r>
    </w:p>
    <w:p>
      <w:pPr>
        <w:pStyle w:val="2"/>
        <w:widowControl/>
        <w:shd w:val="clear" w:color="auto" w:fill="FFFFFF"/>
        <w:spacing w:before="0" w:after="0" w:line="240" w:lineRule="auto"/>
        <w:outlineLvl w:val="0"/>
        <w:rPr>
          <w:rFonts w:ascii="Times New Roman" w:hAnsi="Times New Roman"/>
        </w:rPr>
      </w:pPr>
      <w:bookmarkStart w:id="5" w:name="_GoBack"/>
      <w:r>
        <w:rPr>
          <w:rFonts w:hint="eastAsia" w:ascii="Times New Roman" w:hAnsi="Times New Roman"/>
          <w:sz w:val="44"/>
          <w:szCs w:val="44"/>
        </w:rPr>
        <w:t>三亚市</w:t>
      </w:r>
      <w:r>
        <w:rPr>
          <w:rFonts w:ascii="Times New Roman" w:hAnsi="Times New Roman"/>
          <w:sz w:val="44"/>
          <w:szCs w:val="44"/>
        </w:rPr>
        <w:t>宫颈癌检查异常/可疑病例随访登记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sz w:val="44"/>
          <w:szCs w:val="44"/>
        </w:rPr>
        <w:t>表</w:t>
      </w:r>
    </w:p>
    <w:bookmarkEnd w:id="5"/>
    <w:tbl>
      <w:tblPr>
        <w:tblStyle w:val="3"/>
        <w:tblW w:w="15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09"/>
        <w:gridCol w:w="426"/>
        <w:gridCol w:w="1133"/>
        <w:gridCol w:w="1151"/>
        <w:gridCol w:w="425"/>
        <w:gridCol w:w="709"/>
        <w:gridCol w:w="1040"/>
        <w:gridCol w:w="708"/>
        <w:gridCol w:w="410"/>
        <w:gridCol w:w="560"/>
        <w:gridCol w:w="1235"/>
        <w:gridCol w:w="418"/>
        <w:gridCol w:w="447"/>
        <w:gridCol w:w="702"/>
        <w:gridCol w:w="1126"/>
        <w:gridCol w:w="479"/>
        <w:gridCol w:w="478"/>
        <w:gridCol w:w="567"/>
        <w:gridCol w:w="1093"/>
        <w:gridCol w:w="565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编号/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1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HPV检查结果</w:t>
            </w:r>
          </w:p>
        </w:tc>
        <w:tc>
          <w:tcPr>
            <w:tcW w:w="174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TCT检查情况</w:t>
            </w:r>
          </w:p>
        </w:tc>
        <w:tc>
          <w:tcPr>
            <w:tcW w:w="262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阴道镜检查情况</w:t>
            </w: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病理检查情况</w:t>
            </w:r>
          </w:p>
        </w:tc>
        <w:tc>
          <w:tcPr>
            <w:tcW w:w="318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治疗情况</w:t>
            </w:r>
          </w:p>
        </w:tc>
        <w:tc>
          <w:tcPr>
            <w:tcW w:w="46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报告日期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结果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报告日期</w:t>
            </w:r>
          </w:p>
        </w:tc>
        <w:tc>
          <w:tcPr>
            <w:tcW w:w="4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是否检查</w:t>
            </w:r>
          </w:p>
        </w:tc>
        <w:tc>
          <w:tcPr>
            <w:tcW w:w="5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检查日期</w:t>
            </w:r>
          </w:p>
        </w:tc>
        <w:tc>
          <w:tcPr>
            <w:tcW w:w="12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检查结果</w:t>
            </w:r>
          </w:p>
        </w:tc>
        <w:tc>
          <w:tcPr>
            <w:tcW w:w="41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未查原因</w:t>
            </w:r>
          </w:p>
        </w:tc>
        <w:tc>
          <w:tcPr>
            <w:tcW w:w="4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是否检查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报告日期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检查结果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是否失访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随访结果</w:t>
            </w:r>
          </w:p>
        </w:tc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426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5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是否治疗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治疗日期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治疗方法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未治原因</w:t>
            </w:r>
          </w:p>
        </w:tc>
        <w:tc>
          <w:tcPr>
            <w:tcW w:w="4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noWrap w:val="0"/>
            <w:vAlign w:val="top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41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　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6" w:type="dxa"/>
            <w:noWrap w:val="0"/>
            <w:vAlign w:val="top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47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426" w:type="dxa"/>
            <w:noWrap w:val="0"/>
            <w:vAlign w:val="top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1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60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47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7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565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Times New Roman" w:hAnsi="Times New Roman"/>
                <w:b/>
                <w:kern w:val="0"/>
                <w:szCs w:val="21"/>
              </w:rPr>
            </w:pPr>
          </w:p>
        </w:tc>
        <w:tc>
          <w:tcPr>
            <w:tcW w:w="468" w:type="dxa"/>
            <w:noWrap w:val="0"/>
            <w:vAlign w:val="center"/>
          </w:tcPr>
          <w:p>
            <w:pPr>
              <w:widowControl/>
              <w:spacing w:before="120" w:beforeLines="50" w:after="120" w:afterLines="5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填表说明：</w:t>
      </w:r>
    </w:p>
    <w:p>
      <w:pPr>
        <w:pStyle w:val="5"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此随访表用于个案信息管理，不需上报。结果为异常/可疑病例需要进行随访者登记入此表中。</w:t>
      </w:r>
    </w:p>
    <w:p>
      <w:pPr>
        <w:pStyle w:val="5"/>
        <w:numPr>
          <w:ilvl w:val="0"/>
          <w:numId w:val="1"/>
        </w:numPr>
        <w:ind w:left="0" w:firstLine="567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异常/可疑病例主要包括：需要进一步检查及治疗者，如HPV检查结果异常、TCT检查分类ASC-US及以上者，肉眼观察可疑/异常者，阴道镜可疑/异常者以及病理学检查CIN2及以上者。</w:t>
      </w:r>
    </w:p>
    <w:p>
      <w:pPr>
        <w:pStyle w:val="5"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HPV检查结果填写：阳性</w:t>
      </w:r>
    </w:p>
    <w:p>
      <w:pPr>
        <w:pStyle w:val="5"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阴道镜是否检查：不限定检查机构，只要进行了阴道镜检查的都作为已检查。</w:t>
      </w:r>
    </w:p>
    <w:p>
      <w:pPr>
        <w:pStyle w:val="5"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阴道镜检查失访定义：指自告知应作阴道镜检查之日起至满3个月，仍未追踪到阴道镜检查结果者。</w:t>
      </w:r>
    </w:p>
    <w:p>
      <w:pPr>
        <w:pStyle w:val="5"/>
        <w:widowControl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阴道镜检查结果：填写正常或异常/可疑（异常/可疑者为需要进行病理学检查）。</w:t>
      </w:r>
    </w:p>
    <w:p>
      <w:pPr>
        <w:pStyle w:val="5"/>
        <w:widowControl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阴道镜未查原因：填写1.失访2.拒绝3.其他</w:t>
      </w:r>
    </w:p>
    <w:p>
      <w:pPr>
        <w:pStyle w:val="5"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病理检查结果：如结果为CIN1及以上者需要详细填写其病理检查结果。其中CIN2及以上者需要进行随访了解治疗情况。</w:t>
      </w:r>
    </w:p>
    <w:p>
      <w:pPr>
        <w:pStyle w:val="5"/>
        <w:numPr>
          <w:ilvl w:val="0"/>
          <w:numId w:val="1"/>
        </w:numPr>
        <w:ind w:left="851" w:hanging="284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是否治疗：填写是、否或不详。</w:t>
      </w:r>
    </w:p>
    <w:p>
      <w:pPr>
        <w:pStyle w:val="5"/>
        <w:ind w:left="564" w:firstLine="0" w:firstLine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10.治疗方法：宫颈冷冻、宫颈LEEP、宫颈锥切、子宫切除手术、放疗或化疗，其他请说明。</w:t>
      </w:r>
    </w:p>
    <w:p>
      <w:pPr>
        <w:pStyle w:val="5"/>
        <w:ind w:firstLine="567" w:firstLineChars="0"/>
        <w:jc w:val="lef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</w:sectPr>
      </w:pPr>
      <w:r>
        <w:rPr>
          <w:rFonts w:ascii="Times New Roman" w:hAnsi="Times New Roman" w:cs="Times New Roman"/>
          <w:sz w:val="22"/>
        </w:rPr>
        <w:t>11.备注：肉眼检查异常需进一步检查者，备注中注明肉眼所见异常。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ind w:left="126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680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2100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2520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940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3360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780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4200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4620" w:hanging="42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D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2021-05-10T10:08:06Z</dcterms:created>
  <dc:creator>Administrator</dc:creator>
  <cp:lastModifiedBy>蓝碧</cp:lastModifiedBy>
  <dcterms:modified xsi:type="dcterms:W3CDTF">2021-05-10T10:08:45Z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