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黑体" w:hAnsi="黑体" w:eastAsia="黑体" w:cs="黑体"/>
          <w:kern w:val="0"/>
          <w:sz w:val="32"/>
          <w:szCs w:val="32"/>
        </w:rPr>
        <w:t xml:space="preserve">附件5-1 </w:t>
      </w:r>
      <w:r>
        <w:rPr>
          <w:rFonts w:ascii="Times New Roman" w:hAnsi="Times New Roman" w:eastAsia="仿宋"/>
          <w:kern w:val="0"/>
          <w:sz w:val="32"/>
          <w:szCs w:val="32"/>
        </w:rPr>
        <w:t xml:space="preserve">     </w:t>
      </w:r>
      <w:r>
        <w:rPr>
          <w:rFonts w:hint="eastAsia" w:ascii="Times New Roman" w:hAnsi="Times New Roman"/>
          <w:b w:val="0"/>
          <w:bCs w:val="0"/>
          <w:kern w:val="0"/>
          <w:sz w:val="32"/>
          <w:szCs w:val="32"/>
        </w:rPr>
        <w:t>三亚市</w:t>
      </w:r>
      <w:r>
        <w:rPr>
          <w:rFonts w:ascii="Times New Roman" w:hAnsi="Times New Roman"/>
          <w:b w:val="0"/>
          <w:bCs w:val="0"/>
          <w:kern w:val="0"/>
          <w:sz w:val="32"/>
          <w:szCs w:val="32"/>
        </w:rPr>
        <w:t>妇女常见病及宫颈癌检查流程</w:t>
      </w:r>
    </w:p>
    <w:bookmarkEnd w:id="0"/>
    <w:p/>
    <w:p>
      <w:r>
        <w:rPr>
          <w:rFonts w:hint="eastAsia" w:ascii="Times New Roman" w:hAnsi="Times New Roman" w:eastAsia="仿宋"/>
          <w:kern w:val="0"/>
          <w:sz w:val="32"/>
          <w:szCs w:val="32"/>
          <w:lang w:eastAsia="zh-CN"/>
        </w:rPr>
        <w:drawing>
          <wp:inline distT="0" distB="0" distL="114300" distR="114300">
            <wp:extent cx="6271260" cy="6046470"/>
            <wp:effectExtent l="0" t="0" r="15240" b="11430"/>
            <wp:docPr id="3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1260" cy="604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F1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2021-05-10T10:01:19Z</dcterms:created>
  <dc:creator>Administrator</dc:creator>
  <cp:lastModifiedBy>蓝碧</cp:lastModifiedBy>
  <dcterms:modified xsi:type="dcterms:W3CDTF">2021-05-10T10:03:51Z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