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 w:val="0"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 w:val="0"/>
          <w:bCs/>
          <w:sz w:val="32"/>
          <w:szCs w:val="32"/>
        </w:rPr>
        <w:t>20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 w:val="0"/>
          <w:bCs/>
          <w:sz w:val="32"/>
          <w:szCs w:val="32"/>
        </w:rPr>
        <w:t>年三亚市</w:t>
      </w:r>
      <w:r>
        <w:rPr>
          <w:rFonts w:ascii="宋体" w:hAnsi="宋体"/>
          <w:b w:val="0"/>
          <w:bCs/>
          <w:sz w:val="32"/>
          <w:szCs w:val="32"/>
        </w:rPr>
        <w:t>妇女</w:t>
      </w:r>
      <w:r>
        <w:rPr>
          <w:rFonts w:hint="eastAsia" w:ascii="宋体" w:hAnsi="宋体"/>
          <w:b w:val="0"/>
          <w:bCs/>
          <w:sz w:val="32"/>
          <w:szCs w:val="32"/>
        </w:rPr>
        <w:t>常见病及</w:t>
      </w:r>
      <w:r>
        <w:rPr>
          <w:rFonts w:ascii="宋体" w:hAnsi="宋体"/>
          <w:b w:val="0"/>
          <w:bCs/>
          <w:sz w:val="32"/>
          <w:szCs w:val="32"/>
        </w:rPr>
        <w:t>“两癌”检查项目</w:t>
      </w:r>
      <w:r>
        <w:rPr>
          <w:rFonts w:hint="eastAsia" w:ascii="宋体" w:hAnsi="宋体"/>
          <w:b w:val="0"/>
          <w:bCs/>
          <w:sz w:val="32"/>
          <w:szCs w:val="32"/>
        </w:rPr>
        <w:t>经费使用表</w:t>
      </w:r>
    </w:p>
    <w:bookmarkEnd w:id="0"/>
    <w:tbl>
      <w:tblPr>
        <w:tblStyle w:val="2"/>
        <w:tblW w:w="10453" w:type="dxa"/>
        <w:jc w:val="center"/>
        <w:tblInd w:w="1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1016"/>
        <w:gridCol w:w="2520"/>
        <w:gridCol w:w="2625"/>
        <w:gridCol w:w="1116"/>
        <w:gridCol w:w="1374"/>
        <w:gridCol w:w="1020"/>
      </w:tblGrid>
      <w:tr>
        <w:tblPrEx>
          <w:tblLayout w:type="fixed"/>
        </w:tblPrEx>
        <w:trPr>
          <w:trHeight w:val="83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检查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eastAsia="zh-CN"/>
              </w:rPr>
              <w:t>任务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480"/>
              </w:tabs>
              <w:spacing w:line="440" w:lineRule="exact"/>
              <w:ind w:right="118" w:rightChars="56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  <w:lang w:eastAsia="zh-CN"/>
              </w:rPr>
              <w:t>检查人数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参考费用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（元/人/次）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小计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宫颈癌检查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81"/>
              </w:tabs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乳腺手诊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81"/>
              </w:tabs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妇科检查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HPV检测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（70元/人）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取材、保存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实验室检测及报告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  <w:szCs w:val="24"/>
              </w:rPr>
              <w:t>小计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宫颈液基细胞学检查（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元/人）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取材、涂片、固定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both"/>
              <w:textAlignment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染色及TBS描述性报告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  <w:szCs w:val="24"/>
              </w:rPr>
              <w:t>小计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140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阴道镜检查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TCT检查异常人群（按初筛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7.5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%比率测算）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1500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组织病理学检查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组织病理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取材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750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0.75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阴道镜检查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人数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50%比率测算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750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11.25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47"/>
                <w:tab w:val="center" w:pos="2562"/>
              </w:tabs>
              <w:spacing w:line="440" w:lineRule="exact"/>
              <w:ind w:firstLine="723" w:firstLineChars="300"/>
              <w:jc w:val="left"/>
              <w:textAlignment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47"/>
                <w:tab w:val="center" w:pos="2562"/>
              </w:tabs>
              <w:spacing w:line="440" w:lineRule="exact"/>
              <w:ind w:firstLine="964" w:firstLineChars="400"/>
              <w:jc w:val="left"/>
              <w:textAlignment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750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both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47"/>
                <w:tab w:val="center" w:pos="2562"/>
              </w:tabs>
              <w:spacing w:line="440" w:lineRule="exact"/>
              <w:ind w:firstLine="723" w:firstLineChars="300"/>
              <w:jc w:val="left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合 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both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乳腺癌检查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乳腺手诊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超声检查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both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钼靶检查（受检人群1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1.5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%比率测算）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2300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组织病理学检查（受检人群1%比率测算）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11.2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7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合 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207.2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人员培训费</w:t>
            </w: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1.08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9433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549.28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2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2021-05-10T09:59:36Z</dcterms:created>
  <dc:creator>Administrator</dc:creator>
  <cp:lastModifiedBy>蓝碧</cp:lastModifiedBy>
  <dcterms:modified xsi:type="dcterms:W3CDTF">2021-05-10T10:00:00Z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